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1E" w:rsidRDefault="004D71A4" w:rsidP="004D71A4">
      <w:pPr>
        <w:spacing w:after="0" w:line="240" w:lineRule="auto"/>
        <w:ind w:right="-2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A4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ПРИМЕРН</w:t>
      </w:r>
      <w:r w:rsidRPr="004D7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</w:t>
      </w:r>
      <w:r w:rsidRPr="004D71A4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 МАТРИЦ</w:t>
      </w:r>
      <w:r w:rsidRPr="004D7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4D71A4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 </w:t>
      </w:r>
      <w:r w:rsidRPr="004D7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КЛАССНЫХ ЧАСОВ</w:t>
      </w:r>
    </w:p>
    <w:p w:rsidR="004D71A4" w:rsidRPr="004D71A4" w:rsidRDefault="004D71A4" w:rsidP="004D71A4">
      <w:pPr>
        <w:spacing w:after="0" w:line="240" w:lineRule="auto"/>
        <w:ind w:right="-2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«МОЕ ПСИХОЛОГИЧЕСКОЕ БЛАГОПОЛУЧИЕ</w:t>
      </w:r>
      <w:r w:rsidR="00D3171E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 И ПОМОЩЬ СВЕРСТНИКАМ В КРИЗИСНОЙ СИТУАЦИИ</w:t>
      </w:r>
      <w:r w:rsidRPr="004D71A4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» </w:t>
      </w:r>
    </w:p>
    <w:p w:rsidR="004D71A4" w:rsidRPr="004D71A4" w:rsidRDefault="004D71A4" w:rsidP="004D71A4">
      <w:pPr>
        <w:spacing w:after="0" w:line="240" w:lineRule="auto"/>
        <w:ind w:right="-2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ДЛЯ УЧРЕЖДЕНИЙ ОБРАЗОВАНИЯ, РЕАЛИЗУЮЩИХ ОБРАЗОВАТЕЛЬНЫЕ ПРОГРАММЫ</w:t>
      </w:r>
    </w:p>
    <w:p w:rsidR="004D71A4" w:rsidRPr="004D71A4" w:rsidRDefault="004D71A4" w:rsidP="004D71A4">
      <w:pPr>
        <w:spacing w:after="0" w:line="240" w:lineRule="auto"/>
        <w:ind w:right="-2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0" w:name="_GoBack"/>
      <w:bookmarkEnd w:id="0"/>
      <w:r w:rsidRPr="004D71A4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ОБЩЕГО СРЕДНЕГО ОБРАЗОВАНИЯ</w:t>
      </w:r>
    </w:p>
    <w:p w:rsidR="004D71A4" w:rsidRPr="004D71A4" w:rsidRDefault="004D71A4" w:rsidP="004D71A4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D71A4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4-11 классы</w:t>
      </w:r>
      <w:r w:rsidRPr="004D7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Целевая установка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  <w:t>Цель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– повышение уровня психологического благополучия обучающихся на основе формирования у них жизненных навыков; повышение уровня устойчивости обучающихся к влиянию стрессов и неблагоприятных ситуаций на эмоциональное состояние обучающихся.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  <w:t>Задачи: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содействовать формированию личностных и социальных компетенций (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самопринятие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 автономия, личностный рост, целеполагание, конструктивные отношения с окружающими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и понимания эмоционального климата), составляющих психологическое благополучие личности обучающихся; 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акцентировать внимание на когнитивном, эмоциональном и поведенческом компонентах работы по целостному формированию личностных и социальных компетенций обучающихся;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оказывать поддержку устойчивости и эмоционального баланса, особенно в кризисных ситуациях у обучающихся, ведущих к нарушению личностного и поведенческого функционирования, за счет формирования жизненных навыков, необходимых для психологического благополучия;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содействовать пониманию обучающимися основ психического здоровья и психологического благополучия (что это такое, как оно связано с их повседневной жизнью, какие факторы помогают его поддерживать), а также формировать навыки заботы о себе и поиска безопасной поддержки при сложных переживаниях;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формировать жизненные навыки, необходимые для психологического благополучия: осознание своей жизненной перспективы; навыки коммуникации и межличностного общения, принятия решений и критического мышления, саморегуляции и решения проблем, умения слушать, высказывать свою точку зрения, приходить к компромиссному решению и пониманию других людей; 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содействовать формированию навыков самовыражения и обсуждения вопросов благополучия с другими людьми, включая сверстников, используя 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нестигматизирующий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поддерживающий язык, проявляя сочувствие и уважение; 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формировать у обучающихся навыки распознавать факторы и признаки риска, знать, как безопасно реагировать, оказывать помощь сверстникам или направить сверстников к компетентным взрослым, используя поддерживающий и 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нестигматизирующий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подход;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содействовать развитию навыков, поддерживающих психологическое благополучие обучающихся как неотъемлемой части их права на здоровье и образование.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Методическая установка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Предложенн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матриц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классных часов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явля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тся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примерн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. Занятия построены в соответствии с особенностями восприятия информации обучающимися, их вхождения в групповой контакт и в контакт с педагогом, а также с учетом задач формирования мотивации, направленной на приобретение личностных и социальных компетенций. При проведении 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классного часа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необходимо учитывать разнообразие учащихся, включая различия по возрасту, индивидуальные темпы и способы восприятия информации (например, кто-то лучше понимает через наглядные материалы, кто-то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через устное объяснения или практические действия), особенности взаимодействия и выражения себя в общении, а также потребности обучающихся с особыми образовательными потребностями (при их наличии).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Педагогу необходимо: 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1. Учитывать психофизиологические особенности обучающихся, поскольку от них зависит как способность обучающихся усваивать материал, так и особенности реакции на материал. 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 Создавать атмосферу безопасности и поддержки, которая позволит обучающимся проявить свои наилучшие качества и усвоить наиболее здоровые тенденции проживания, в том числе кризисных ситуаций.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3. Осознанно использовать невербальные формы общения (голосовые интонации, мимику, жестикуляцию, позы), которые придадут изучаемому материалу эмоциональную окраску, что существенно повысит эффективность обучения.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4. Использовать 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нестигматизирующий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язык, различные средства коммуникации (уметь задавать открытые вопросы, поддерживать активное слушание и быть эмоциональном доступным), эмпатию, а также способность инициировать и вести деликатные обсуждения, открыто обсуждать вопросы психического здоровья и благополучия для его нормализации. 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5. Уметь выявлять признаки дистресса/риска и соответствующим образом корректировать свое общение и взаимодействие с обучающимися, оказывать поддержку по мере необходимости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6. Способствовать усвоению обучающимися правила уважения к мнению других, особенно если оно отличается от их собственного, 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стремлени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выслушать другого без насмешек и оскорблений. Важно помнить, что правильных и неправильных ответов нет, каждый высказывает свое личное мнение.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1A4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Оформление помещения, в котором проводится </w:t>
      </w:r>
      <w:r w:rsidRPr="004D7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час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  <w:t xml:space="preserve">Оборудование 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Специальное оборудование для проведения занятий не требуется. Мебель должна быть легкой, чтобы ее можно было быстро убирать на время проведения игр. 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формата А1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заменить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классн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доск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. Однако 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листы формата А1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предпочтительнее, поскольку 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запис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на них хорошо иметь на стенах класс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 качестве наглядной агитации. 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  <w:t>Материалы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Необходимы средства для рисования (письма) на доске или 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листах формата А1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 например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мелки разных цветов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фломастеры. Кроме того, понадобится несколько наборов карточек из картона или плотной бумаги (например, для деления группы на подгруппы): они облегчают работу педагога. Также 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небольшой легкий мяч (теннисный либо легкий надувной) и запас листов бумаги</w:t>
      </w:r>
      <w:r w:rsidRPr="004D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формата А4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. 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1A4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Источники для подготовки </w:t>
      </w:r>
      <w:r w:rsidRPr="004D7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классного часа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Мельник, О. А. </w:t>
      </w:r>
      <w:hyperlink r:id="rId4">
        <w:r w:rsidRPr="004D71A4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  <w:lang w:val="ru" w:eastAsia="ru-RU"/>
          </w:rPr>
          <w:t>Мое психологическое благополучие и помощь сверстникам в кризисной ситуации : пособие</w:t>
        </w:r>
      </w:hyperlink>
      <w:r w:rsidRPr="004D71A4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ru" w:eastAsia="ru-RU"/>
        </w:rPr>
        <w:t xml:space="preserve"> </w:t>
      </w:r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для педагогических работников учреждений образования, реализующих образовательные программы общего среднего образования, с белорусским и русским языками обучения и воспитания / О. А. Мельник, Н. В. Смирнова, В. А. 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Хриптович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; ГУО «Акад. 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последиплом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. образования». – </w:t>
      </w:r>
      <w:proofErr w:type="gramStart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Минск :</w:t>
      </w:r>
      <w:proofErr w:type="gramEnd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 РИВШ, 2024. – 128 с.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Мельник, О. А. </w:t>
      </w:r>
      <w:hyperlink r:id="rId5">
        <w:r w:rsidRPr="004D71A4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  <w:lang w:val="ru" w:eastAsia="ru-RU"/>
          </w:rPr>
          <w:t>Мое психологическое благополучие и помощь сверстникам в кризисной ситуации : рабочая тетрадь</w:t>
        </w:r>
      </w:hyperlink>
      <w:r w:rsidRPr="004D71A4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ru" w:eastAsia="ru-RU"/>
        </w:rPr>
        <w:t xml:space="preserve"> </w:t>
      </w:r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для учащихся учреждений образования, реализующих образовательные программы общего среднего образования, с белорусским и русским языками обучения и воспитания / О. А. Мельник, Н. В. Смирнова, В. А. 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Хриптович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; ГУО «Акад. </w:t>
      </w:r>
      <w:proofErr w:type="spellStart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последиплом</w:t>
      </w:r>
      <w:proofErr w:type="spellEnd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. образования». – </w:t>
      </w:r>
      <w:proofErr w:type="gramStart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Минск :</w:t>
      </w:r>
      <w:proofErr w:type="gramEnd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 РИВШ, 2024. – 108 </w:t>
      </w:r>
      <w:proofErr w:type="gramStart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с. :</w:t>
      </w:r>
      <w:proofErr w:type="gramEnd"/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 ил.</w:t>
      </w:r>
    </w:p>
    <w:p w:rsidR="004D71A4" w:rsidRPr="004D71A4" w:rsidRDefault="004D71A4" w:rsidP="004D71A4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Электронные ресурсы Института психологии УО 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«</w:t>
      </w:r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Белорусский государственный педагогический университет имени Максима Танка</w:t>
      </w:r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» Режим доступа: </w:t>
      </w:r>
      <w:hyperlink r:id="rId6">
        <w:r w:rsidRPr="004D71A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" w:eastAsia="ru-RU"/>
          </w:rPr>
          <w:t>https://ipsy.bspu.by/pedagogical-psychology/resursy</w:t>
        </w:r>
      </w:hyperlink>
      <w:r w:rsidRPr="004D71A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4D71A4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 </w:t>
      </w:r>
    </w:p>
    <w:p w:rsidR="009E1F02" w:rsidRPr="004D71A4" w:rsidRDefault="009E1F02" w:rsidP="004D71A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ru" w:eastAsia="ru-RU"/>
        </w:rPr>
      </w:pPr>
    </w:p>
    <w:sectPr w:rsidR="009E1F02" w:rsidRPr="004D71A4" w:rsidSect="004D71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A4"/>
    <w:rsid w:val="004D71A4"/>
    <w:rsid w:val="009E1F02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66CF"/>
  <w15:chartTrackingRefBased/>
  <w15:docId w15:val="{9B572C95-BCCF-408E-8039-4F520E39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y.bspu.by/pedagogical-psychology/resursy" TargetMode="External"/><Relationship Id="rId5" Type="http://schemas.openxmlformats.org/officeDocument/2006/relationships/hyperlink" Target="https://ipsy.bspu.by/pedagogical-psychology/resursy" TargetMode="External"/><Relationship Id="rId4" Type="http://schemas.openxmlformats.org/officeDocument/2006/relationships/hyperlink" Target="https://ipsy.bspu.by/pedagogical-psychology/resur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Громыко</dc:creator>
  <cp:keywords/>
  <dc:description/>
  <cp:lastModifiedBy>Боричева И.В.</cp:lastModifiedBy>
  <cp:revision>2</cp:revision>
  <dcterms:created xsi:type="dcterms:W3CDTF">2025-10-16T12:54:00Z</dcterms:created>
  <dcterms:modified xsi:type="dcterms:W3CDTF">2025-10-16T12:54:00Z</dcterms:modified>
</cp:coreProperties>
</file>