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A4" w:rsidRPr="004D71A4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ПРИМЕРН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МАТРИЦ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КЛАССНЫХ ЧАСОВ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«МОЕ ПСИХОЛОГИЧЕСКОЕ БЛАГОПОЛУЧИЕ» </w:t>
      </w:r>
    </w:p>
    <w:p w:rsidR="004D71A4" w:rsidRPr="004D71A4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ДЛЯ УЧРЕЖДЕНИЙ ОБРАЗОВАНИЯ, РЕАЛИЗУЮЩИХ ОБРАЗОВАТЕЛЬНЫЕ ПРОГРАММЫ</w:t>
      </w:r>
    </w:p>
    <w:p w:rsidR="004D71A4" w:rsidRPr="004D71A4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ОБЩЕГО СРЕДНЕГО ОБРАЗОВАНИЯ</w:t>
      </w:r>
    </w:p>
    <w:p w:rsidR="004D71A4" w:rsidRPr="004D71A4" w:rsidRDefault="004D71A4" w:rsidP="004D71A4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4-11 классы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Целевая установка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>Цель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– повышение уровня психологического благополучия обучающихся на основе формирования у них жизненных навыков; повышение уровня устойчивости обучающихся к влиянию стрессов и неблагоприятных ситуаций на эмоциональное состояние обучающихся.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>Задачи: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содействовать формированию личностных и социальных компетенций (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самопринятие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автономия, личностный рост, целеполагание, конструктивные отношения с окружающими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 понимания эмоционального климата), составляющих психологическое благополучие личности обучающихся;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акцентировать внимание на когнитивном, эмоциональном и поведенческом компонентах работы по целостному формированию личностных и социальных компетенций обучающихся;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оказывать поддержку устойчивости и эмоционального баланса, особенно в кризисных ситуациях у обучающихся, ведущих к нарушению личностного и поведенческого функционирования, за счет формирования жизненных навыков, необходимых для психологического благополучия;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содействовать пониманию обучающимися основ психического здоровья и психологического благополучия (что это такое, как оно связано с их повседневной жизнью, какие факторы помогают его поддерживать), а также формировать навыки заботы о себе и поиска безопасной поддержки при сложных переживаниях;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формировать жизненные навыки, необходимые для психологического благополучия: осознание своей жизненной перспективы; навыки коммуникации и межличностного общения, принятия решений и критического мышления, саморегуляции и решения проблем, умения слушать, высказывать свою точку зрения, приходить к компромиссному решению и пониманию других людей;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содействовать формированию навыков самовыражения и обсуждения вопросов благополучия с другими людьми, включая сверстников, используя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нестигматизирующий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поддерживающий язык, проявляя сочувствие и уважение;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формировать у обучающихся навыки распознавать факторы и признаки риска, знать, как безопасно реагировать, оказывать помощь сверстникам или направить сверстников к компетентным взрослым, используя поддерживающий и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нестигматизирующий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подход;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содействовать развитию навыков, поддерживающих психологическое благополучие обучающихся как неотъемлемой части их права на здоровье и образование.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>Методическая установка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Предложенн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матриц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классных часов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явля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тся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примерн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Занятия построены в соответствии с особенностями восприятия информации обучающимися, их вхождения в групповой контакт и в контакт с педагогом, а также с учетом задач формирования мотивации, направленной на приобретение личностных и социальных компетенций. При проведении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часа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необходимо учитывать разнообразие учащихся, включая различия по возрасту, индивидуальные темпы и способы восприятия информации (например, кто-то лучше понимает через наглядные материалы, кто-то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через устное объяснения или практические действия), особенности взаимодействия и выражения себя в общении, а также потребности обучающихся с особыми образовательными потребностями (при их наличии).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Педагогу необходимо: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1. Учитывать психофизиологические особенности обучающихся, поскольку от них зависит как способность обучающихся усваивать материал, так и особенности реакции на материал.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 Создавать атмосферу безопасности и поддержки, которая позволит обучающимся проявить свои наилучшие качества и усвоить наиболее здоровые тенденции проживания, в том числе кризисных ситуаций.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3. Осознанно использовать невербальные формы общения (голосовые интонации, мимику, жестикуляцию, позы), которые придадут изучаемому материалу эмоциональную окраску, что существенно повысит эффективность обучения.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4. Использовать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нестигматизирующий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язык, различные средства коммуникации (уметь задавать открытые вопросы, поддерживать активное слушание и быть эмоциональном доступным), эмпатию, а также способность инициировать и вести деликатные обсуждения, открыто обсуждать вопросы психического здоровья и благополучия для его нормализации.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5. Уметь выявлять признаки дистресса/риска и соответствующим образом корректировать свое общение и взаимодействие с обучающимися, оказывать поддержку по мере необходимости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6. Способствовать усвоению обучающимися правила уважения к мнению других, особенно если оно отличается от их собственного,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стремлени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выслушать другого без насмешек и оскорблений. Важно помнить, что правильных и неправильных ответов нет, каждый высказывает свое личное мнение.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Оформление помещения, в котором проводится </w:t>
      </w: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 xml:space="preserve">Оборудование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Специальное оборудование для проведения занятий не требуется. Мебель должна быть легкой, чтобы ее можно было быстро убирать на время проведения игр.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формата А1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заменить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классн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доск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Однако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листы формата А1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предпочтительнее, поскольку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запис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на них хорошо иметь на стенах класс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качестве наглядной агитации.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>Материалы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Необходимы средства для рисования (письма) на доске или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 формата А1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например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мелки разных цветов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фломастеры. Кроме того, понадобится несколько наборов карточек из картона или плотной бумаги (например, для деления группы на подгруппы): они облегчают работу педагога. Также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небольшой легкий мяч (теннисный либо легкий надувной) и запас листов бумаги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lastRenderedPageBreak/>
        <w:t xml:space="preserve">Источники для подготовки </w:t>
      </w: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Мельник, О. А. </w:t>
      </w:r>
      <w:hyperlink r:id="rId4">
        <w:r w:rsidRPr="004D71A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ru" w:eastAsia="ru-RU"/>
          </w:rPr>
          <w:t>Мое психологическое благополучие и помощь сверстникам в кризисной ситуации : пособие</w:t>
        </w:r>
      </w:hyperlink>
      <w:r w:rsidRPr="004D71A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для педагогических работников учреждений образования, реализующих образовательные программы общего среднего образования, с белорусским и русским языками обучения и воспитания / О. А. Мельник, Н. В. Смирнова, В. А.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Хриптович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; ГУО «Акад.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последиплом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. образования». – </w:t>
      </w:r>
      <w:proofErr w:type="gram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Минск :</w:t>
      </w:r>
      <w:proofErr w:type="gram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РИВШ, 2024. – 128 с.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Мельник, О. А. </w:t>
      </w:r>
      <w:hyperlink r:id="rId5">
        <w:r w:rsidRPr="004D71A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ru" w:eastAsia="ru-RU"/>
          </w:rPr>
          <w:t>Мое психологическое благополучие и помощь сверстникам в кризисной ситуации : рабочая тетрадь</w:t>
        </w:r>
      </w:hyperlink>
      <w:r w:rsidRPr="004D71A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для учащихся учреждений образования, реализующих образовательные программы общего среднего образования, с белорусским и русским языками обучения и воспитания / О. А. Мельник, Н. В. Смирнова, В. А.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Хриптович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; ГУО «Акад.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последиплом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. образования». – </w:t>
      </w:r>
      <w:proofErr w:type="gram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Минск :</w:t>
      </w:r>
      <w:proofErr w:type="gram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РИВШ, 2024. – 108 </w:t>
      </w:r>
      <w:proofErr w:type="gram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с. :</w:t>
      </w:r>
      <w:proofErr w:type="gram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ил.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Электронные ресурсы Института психологии УО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Белорусский государственный педагогический университет имени Максима Танка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» Режим доступа: </w:t>
      </w:r>
      <w:hyperlink r:id="rId6">
        <w:r w:rsidRPr="004D71A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" w:eastAsia="ru-RU"/>
          </w:rPr>
          <w:t>https://ipsy.bspu.by/pedagogical-psychology/resursy</w:t>
        </w:r>
      </w:hyperlink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</w:t>
      </w:r>
    </w:p>
    <w:p w:rsidR="009E1F02" w:rsidRPr="004D71A4" w:rsidRDefault="009E1F02" w:rsidP="004D71A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" w:eastAsia="ru-RU"/>
        </w:rPr>
      </w:pPr>
      <w:bookmarkStart w:id="0" w:name="_GoBack"/>
      <w:bookmarkEnd w:id="0"/>
    </w:p>
    <w:sectPr w:rsidR="009E1F02" w:rsidRPr="004D71A4" w:rsidSect="004D7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A4"/>
    <w:rsid w:val="004D71A4"/>
    <w:rsid w:val="009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8C4"/>
  <w15:chartTrackingRefBased/>
  <w15:docId w15:val="{9B572C95-BCCF-408E-8039-4F520E39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y.bspu.by/pedagogical-psychology/resursy" TargetMode="External"/><Relationship Id="rId5" Type="http://schemas.openxmlformats.org/officeDocument/2006/relationships/hyperlink" Target="https://ipsy.bspu.by/pedagogical-psychology/resursy" TargetMode="External"/><Relationship Id="rId4" Type="http://schemas.openxmlformats.org/officeDocument/2006/relationships/hyperlink" Target="https://ipsy.bspu.by/pedagogical-psychology/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Громыко</dc:creator>
  <cp:keywords/>
  <dc:description/>
  <cp:lastModifiedBy>Мария Громыко</cp:lastModifiedBy>
  <cp:revision>1</cp:revision>
  <dcterms:created xsi:type="dcterms:W3CDTF">2025-08-29T09:28:00Z</dcterms:created>
  <dcterms:modified xsi:type="dcterms:W3CDTF">2025-08-29T09:32:00Z</dcterms:modified>
</cp:coreProperties>
</file>