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78F6E5E6" w:rsidR="00921287" w:rsidRPr="00D2476F" w:rsidRDefault="004F1A81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921287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36A0C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21</w:t>
      </w:r>
    </w:p>
    <w:p w14:paraId="0A8B7FC5" w14:textId="77777777" w:rsidR="008000B9" w:rsidRPr="00D2476F" w:rsidRDefault="008000B9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79F088A6" w14:textId="77777777" w:rsidR="004F1A81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 xml:space="preserve">АСАБЛІВАСЦІ АРГАНІЗАЦЫІ АДУКАЦЫЙНАГА </w:t>
      </w:r>
    </w:p>
    <w:p w14:paraId="1BB74B5B" w14:textId="77777777" w:rsidR="004F1A81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07538A3F" w14:textId="61D2B00F" w:rsidR="00921287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«ЧАрЧЭННЕ»</w:t>
      </w:r>
    </w:p>
    <w:p w14:paraId="2AEB5A85" w14:textId="77777777" w:rsidR="00921287" w:rsidRPr="00D2476F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  <w:lang w:val="be-BY"/>
        </w:rPr>
      </w:pPr>
    </w:p>
    <w:p w14:paraId="4EFF23EC" w14:textId="2F74532C" w:rsidR="00A17BE7" w:rsidRPr="00D2476F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 xml:space="preserve">1.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Вучэбныя праграмы</w:t>
      </w:r>
    </w:p>
    <w:p w14:paraId="1D187E6B" w14:textId="6FE5C5B9" w:rsidR="006A238A" w:rsidRPr="00D2476F" w:rsidRDefault="004F1A81" w:rsidP="006A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bookmarkStart w:id="0" w:name="_Hlk109830254"/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2025/2026 навучальным годзе пры вывучэнні вучэбнага прадмета «Чарчэнне» выкарыстоўваецца вучэбная праграма, зацверджаная Міністэрствам адукацыі Рэспублікі Беларусь у 2025 годзе</w:t>
      </w:r>
      <w:r w:rsidR="006A238A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4FB68425" w14:textId="6B71C527" w:rsidR="006A238A" w:rsidRPr="00D2476F" w:rsidRDefault="004F1A81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Звяртаем увагу, што колькасць вучэбных тыдняў у X класе з 2025/2026 навучальнага года скарацілася </w:t>
      </w:r>
      <w:r w:rsidR="003474C7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і складае 34 вучэбныя тыдні (п. 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2 артыкула 150 Кодэкса Рэспублікі Беларусь аб адукацыі)</w:t>
      </w:r>
      <w:r w:rsidR="006A238A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14:paraId="27F85EE7" w14:textId="5E5007A8" w:rsidR="006A238A" w:rsidRPr="00D2476F" w:rsidRDefault="004F1A81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У сувязі з гэтым у вучэбных праграмах па вучэбным прадмеце «Чарчэнне» для X класа скарацілася колькасць вучэбных гадзін за кошт рэзервовага часу: на 1 гадзіну на базавым узроўні, на 2 гадзіны на павышаным узроўні</w:t>
      </w:r>
      <w:r w:rsidR="006A238A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bookmarkEnd w:id="0"/>
    <w:p w14:paraId="6FA370C4" w14:textId="071C2E04" w:rsidR="0065276B" w:rsidRPr="00D2476F" w:rsidRDefault="004F1A81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размешчана на нацыянальным адукацыйным партале: </w:t>
      </w:r>
      <w:hyperlink r:id="rId7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8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Галоўная / Адукацыйны працэс. 2025/2026 навучальны год / Агульная сярэдн</w:t>
        </w:r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я</w:t>
        </w:r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Чарчэнне</w:t>
        </w:r>
      </w:hyperlink>
      <w:r w:rsidR="0065276B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3D4FDBA" w14:textId="080335B1" w:rsidR="00921287" w:rsidRPr="00D2476F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2.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7AF6C9E1" w14:textId="0CD48C09" w:rsidR="007F104B" w:rsidRPr="00D2476F" w:rsidRDefault="004F1A81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Электронная версія вучэбнага дапаможніка, які будзе выкарыстоўвацца ў 2025/2026 навучальным годзе, размешчана на нацыянальным адукацыйным партале</w:t>
      </w:r>
      <w:r w:rsidR="00C475D5"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9" w:history="1">
        <w:r w:rsidR="00272F06" w:rsidRPr="00D2476F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http://e-padruchnik.adu.by</w:t>
        </w:r>
      </w:hyperlink>
      <w:r w:rsidR="007F104B" w:rsidRPr="00D2476F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14:paraId="1F2E7532" w14:textId="5EDB23B3" w:rsidR="004F1A81" w:rsidRPr="00D2476F" w:rsidRDefault="004F1A81" w:rsidP="004F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Рэкамендацыі па рабоце з вучэбным дапаможнікам размешчаны на нацыянальным адукацыйным партале: </w:t>
      </w:r>
      <w:hyperlink r:id="rId10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1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э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нне</w:t>
        </w:r>
      </w:hyperlink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0E4DBDE7" w14:textId="74C94F64" w:rsidR="00921287" w:rsidRPr="00D2476F" w:rsidRDefault="004F1A81" w:rsidP="004F1A81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  <w:lang w:val="be-BY"/>
        </w:rPr>
      </w:pPr>
      <w:r w:rsidRPr="00D2476F">
        <w:rPr>
          <w:rFonts w:eastAsiaTheme="minorHAnsi"/>
          <w:sz w:val="30"/>
          <w:szCs w:val="30"/>
          <w:lang w:val="be-BY" w:eastAsia="en-US"/>
        </w:rPr>
        <w:t>Інфармацыя аб вучэбна-метадычным забеспячэнні адукацыйнага працэсу па вучэбным прадмеце «Чарчэнне» ў 2025/2026 навучальным годзе размешчана на нацыянальным адукацыйным партале</w:t>
      </w:r>
      <w:r w:rsidRPr="00D2476F">
        <w:rPr>
          <w:rFonts w:eastAsia="Calibri"/>
          <w:sz w:val="30"/>
          <w:szCs w:val="30"/>
          <w:lang w:val="be-BY"/>
        </w:rPr>
        <w:t xml:space="preserve">: </w:t>
      </w:r>
      <w:hyperlink r:id="rId12" w:history="1">
        <w:r w:rsidRPr="00D2476F">
          <w:rPr>
            <w:rStyle w:val="a6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3" w:history="1">
        <w:r w:rsidRPr="00D2476F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i/>
            <w:color w:val="0070C0"/>
            <w:sz w:val="30"/>
            <w:szCs w:val="30"/>
            <w:lang w:val="be-BY"/>
          </w:rPr>
          <w:t>Чарчэнне</w:t>
        </w:r>
      </w:hyperlink>
      <w:r w:rsidR="00CB1288" w:rsidRPr="00D2476F">
        <w:rPr>
          <w:sz w:val="30"/>
          <w:szCs w:val="30"/>
          <w:lang w:val="be-BY"/>
        </w:rPr>
        <w:t>.</w:t>
      </w:r>
    </w:p>
    <w:p w14:paraId="577B0E53" w14:textId="70FECD95" w:rsidR="00921287" w:rsidRPr="00D2476F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3.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Арганізацыя адукацыйнага працэсу на павышаным узроўні</w:t>
      </w:r>
    </w:p>
    <w:p w14:paraId="26E163F7" w14:textId="599DF0DB" w:rsidR="00EC4879" w:rsidRPr="00D2476F" w:rsidRDefault="004F1A81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Вучэбны прадмет «Чарчэнне» можа вывучацца на павышаным узроўні ў Х класе ў аб’ёме дзвюх вучэбных гадзін на тыдзень.</w:t>
      </w:r>
      <w:r w:rsidRPr="00D2476F">
        <w:rPr>
          <w:lang w:val="be-BY"/>
        </w:rPr>
        <w:t xml:space="preserve"> 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У 2025/2026 навучальным годзе выкарыстоўваецца вучэбная праграма павышанага ўзроўню, зацверджаная пастановай Міністэрства адукацыі Рэспублікі Беларусь ад 19.06.2020 № 140</w:t>
      </w:r>
      <w:r w:rsidR="00CE795E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FC4BE18" w14:textId="6A315B63" w:rsidR="00A349AB" w:rsidRPr="00D2476F" w:rsidRDefault="004F1A81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Пры вывучэнні вучэбнага прадмета </w:t>
      </w:r>
      <w:bookmarkStart w:id="1" w:name="_Hlk175061013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bookmarkEnd w:id="1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Чарчэнне</w:t>
      </w:r>
      <w:bookmarkStart w:id="2" w:name="_Hlk175061023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bookmarkEnd w:id="2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X класе на павышаным узроўні выкарыстоўваецца друкаванае выданне вучэбнага 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дапаможніка, прадугледжанае для вывучэння чарчэння на базавым узроўні, і электронны дадатак для павышанага ўзроўню «Чарчэнне. 10 клас», размешчаны на рэсурсе</w:t>
      </w:r>
      <w:r w:rsidR="009D2150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="00DC2410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="005B5375"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http://profil.adu.by</w:t>
        </w:r>
      </w:hyperlink>
      <w:r w:rsidR="00DC2410" w:rsidRPr="00D2476F">
        <w:rPr>
          <w:rFonts w:ascii="Times New Roman" w:eastAsia="Calibri" w:hAnsi="Times New Roman" w:cs="Times New Roman"/>
          <w:color w:val="0070C0"/>
          <w:sz w:val="30"/>
          <w:szCs w:val="30"/>
          <w:lang w:val="be-BY"/>
        </w:rPr>
        <w:t>.</w:t>
      </w:r>
    </w:p>
    <w:p w14:paraId="3FC3465F" w14:textId="6B768453" w:rsidR="001D7145" w:rsidRPr="00D2476F" w:rsidRDefault="004F1A8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Метадычныя рэкамендацыі па арганізацыі адукацыйнага працэсу пры вывучэнні вучэбнага прадмета на павышаным узроўні размешчаны на нацыянальным адукацыйным партале: </w:t>
      </w:r>
      <w:hyperlink r:id="rId15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6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Чарчэнне</w:t>
        </w:r>
      </w:hyperlink>
      <w:r w:rsidR="00172774" w:rsidRPr="00D2476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5815903C" w14:textId="2E6F8DD5" w:rsidR="00921287" w:rsidRPr="00D2476F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4</w:t>
      </w:r>
      <w:r w:rsidR="00921287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159A710" w14:textId="30ED1AD2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праграме.</w:t>
      </w:r>
      <w:r w:rsidR="00673021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367F8C53" w14:textId="576AE4E2" w:rsidR="00A86B44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вучняў. Не дапускаецца прад’яўленне да вучняў патрабаванняў, якія не прадугледжаны вучэбнай праграмай</w:t>
      </w:r>
      <w:r w:rsidR="00A86B44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14:paraId="6D69B5D0" w14:textId="0CF33C83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папярэджання перагрузкі вучняў пры выкананні дамашняга задання неабходна строга сачыць за яго аб’ёмам, пры неабходнасці – растлумачваць вучням на ўроку змест, парадак і прыёмы выканання дамашніх заданняў. Творчыя заданні могуць быць прапанаваны для самастойнага выканання дома толькі па жаданні вучняў.</w:t>
      </w:r>
      <w:r w:rsidR="00673021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466480E0" w14:textId="5C6CA2BA" w:rsidR="000404D6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Для арганізацыі дапрафесійнай падрыхтоўкі вучняў IX класа для паступлення ва ўстановы адукацыі, якія рэалізуюць адукацыйныя праграмы прафесійна-тэхніч</w:t>
      </w:r>
      <w:r w:rsidRPr="000E3F72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D2476F" w:rsidRPr="000E3F72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D2476F">
        <w:rPr>
          <w:rFonts w:ascii="Times New Roman" w:hAnsi="Times New Roman" w:cs="Times New Roman"/>
          <w:sz w:val="30"/>
          <w:szCs w:val="30"/>
          <w:lang w:val="be-BY"/>
        </w:rPr>
        <w:t>, адукацыйныя праграмы сярэдняй спецыяльнай адукацыі, распрацавана вучэбная праграма факультатыўных заняткаў «Тэхнічная графіка». Пры рэалізацыі гэтай праграмы факультатыўных заняткаў можа выкарыстоўвацца падручнік</w:t>
      </w:r>
      <w:r w:rsidR="000404D6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14:paraId="18B0F269" w14:textId="38244BD5" w:rsidR="000404D6" w:rsidRPr="00D2476F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Виноградов, В. Н.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Черчение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 учебник для 9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-го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класса учреждений общего среднего образования с русским языком обучения / В.</w:t>
      </w:r>
      <w:r w:rsid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Н.</w:t>
      </w:r>
      <w:r w:rsid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Виноградов. – Минск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 Национальный институт образования, 2014. – 216 с.</w:t>
      </w:r>
    </w:p>
    <w:p w14:paraId="5750623C" w14:textId="54C28854" w:rsidR="000404D6" w:rsidRPr="00D2476F" w:rsidRDefault="004F1A81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факультатыўных заняткаў і падручнік размешчаны на нацыянальным адукацыйным партале: </w:t>
      </w:r>
      <w:hyperlink r:id="rId17" w:history="1">
        <w:r w:rsidRPr="00D2476F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val="be-BY" w:eastAsia="ru-RU"/>
          </w:rPr>
          <w:t>https://adu.by/</w:t>
        </w:r>
      </w:hyperlink>
      <w:r w:rsidRPr="00D2476F">
        <w:rPr>
          <w:rFonts w:ascii="Times New Roman" w:eastAsia="TimesNewRoman" w:hAnsi="Times New Roman" w:cs="Times New Roman"/>
          <w:i/>
          <w:color w:val="0070C0"/>
          <w:sz w:val="30"/>
          <w:szCs w:val="30"/>
          <w:lang w:val="be-BY" w:eastAsia="ru-RU"/>
        </w:rPr>
        <w:t xml:space="preserve"> </w:t>
      </w:r>
      <w:hyperlink r:id="rId18" w:history="1">
        <w:r w:rsidRPr="00D2476F">
          <w:rPr>
            <w:lang w:val="be-BY"/>
          </w:rPr>
          <w:t xml:space="preserve"> </w:t>
        </w:r>
        <w:r w:rsidRPr="00D2476F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</w:t>
        </w:r>
        <w:r w:rsidRPr="00D2476F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 xml:space="preserve"> Вучэбныя пра</w:t>
        </w:r>
        <w:r w:rsidRPr="00D2476F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г</w:t>
        </w:r>
        <w:r w:rsidRPr="00D2476F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>рамы факультатыўных заняткаў прафесійнай накіраванасці / Тэхнічная графіка</w:t>
        </w:r>
      </w:hyperlink>
      <w:r w:rsidR="000404D6"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.</w:t>
      </w:r>
    </w:p>
    <w:p w14:paraId="5CC951D5" w14:textId="7777777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Пры арганізацыі адукацыйнага працэсу для атрымання агульнай сярэдняй адукацыі дома вывучэнне вучэбнага прадмета «Чарчэнне» не ажыццяўляецца. </w:t>
      </w:r>
    </w:p>
    <w:p w14:paraId="3255427B" w14:textId="7777777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Фарміраванне функцыянальнай адукаванасці вучняў</w:t>
      </w:r>
    </w:p>
    <w:p w14:paraId="32088575" w14:textId="0BE423F5" w:rsidR="00517887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="00517887"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AA1513B" w14:textId="7777777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58358307"/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адносін. </w:t>
      </w:r>
    </w:p>
    <w:p w14:paraId="29A113D3" w14:textId="22FF1885" w:rsidR="00517887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партале: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4" w:name="_Hlk173494346"/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begin"/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separate"/>
      </w:r>
      <w:r w:rsidRPr="00D2476F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https://adu.by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end"/>
      </w:r>
      <w:r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/ </w:t>
      </w:r>
      <w:hyperlink r:id="rId19" w:history="1">
        <w:r w:rsidRPr="00D2476F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Галоўная / Адукацыйны працэс. 2025/2026 навучальны год / Агульная сярэдняя а</w:t>
        </w:r>
        <w:r w:rsidRPr="00D2476F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д</w:t>
        </w:r>
        <w:r w:rsidRPr="00D2476F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укацыя / Вучэбныя прадметы. V–XI класы / Вучэбна-метадычныя комплексы факультатыўных заняткаў па фарміраванні функцыянальнай адукаванасці</w:t>
        </w:r>
      </w:hyperlink>
      <w:bookmarkEnd w:id="4"/>
      <w:r w:rsidRPr="00D2476F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 вучняў</w:t>
      </w:r>
      <w:hyperlink r:id="rId20" w:history="1"/>
      <w:r w:rsidR="00517887" w:rsidRPr="00D2476F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bookmarkEnd w:id="3"/>
    <w:p w14:paraId="650A652C" w14:textId="43D4A036" w:rsidR="000225E3" w:rsidRPr="00D2476F" w:rsidRDefault="004F1A81" w:rsidP="00A86B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іншае) размешчана на нацыянальным адукацыйным партале</w:t>
      </w:r>
      <w:r w:rsidR="00517887"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  <w:hyperlink r:id="rId21" w:history="1"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Pr="00D2476F">
        <w:rPr>
          <w:rFonts w:ascii="Times New Roman" w:hAnsi="Times New Roman"/>
          <w:i/>
          <w:sz w:val="30"/>
          <w:szCs w:val="30"/>
          <w:u w:val="single"/>
          <w:lang w:val="be-BY" w:eastAsia="ru-RU"/>
        </w:rPr>
        <w:t>/</w:t>
      </w:r>
      <w:hyperlink r:id="rId22" w:history="1">
        <w:r w:rsidRPr="000E3F72">
          <w:rPr>
            <w:rStyle w:val="a6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 xml:space="preserve"> </w:t>
        </w:r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Галоўная / Нацыян</w:t>
        </w:r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а</w:t>
        </w:r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льнае даследаванне якасці адукацыі</w:t>
        </w:r>
      </w:hyperlink>
      <w:r w:rsidR="00517887"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="00517887"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hyperlink r:id="rId23" w:history="1">
        <w:r w:rsidR="0044154C" w:rsidRPr="00D2476F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https://niko.unibel.by</w:t>
        </w:r>
      </w:hyperlink>
      <w:r w:rsidR="0044154C" w:rsidRPr="00D2476F">
        <w:rPr>
          <w:rStyle w:val="a6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  <w:r w:rsidR="0044154C" w:rsidRPr="00D2476F">
        <w:rPr>
          <w:rStyle w:val="a6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 xml:space="preserve"> </w:t>
      </w:r>
    </w:p>
    <w:p w14:paraId="474DCFAD" w14:textId="076474E9" w:rsidR="00973E5F" w:rsidRPr="00D2476F" w:rsidRDefault="004F1A81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6BF31C9A" w14:textId="2249494E" w:rsidR="00973E5F" w:rsidRPr="00D2476F" w:rsidRDefault="004F1A81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5" w:name="_Hlk197589674"/>
      <w:r w:rsidRPr="00D2476F">
        <w:rPr>
          <w:rFonts w:ascii="Times New Roman" w:hAnsi="Times New Roman" w:cs="Times New Roman"/>
          <w:sz w:val="30"/>
          <w:szCs w:val="30"/>
          <w:lang w:val="be-BY"/>
        </w:rPr>
        <w:t>Звяртаем увагу, што Дырэктывай Прэзідэнта Рэспублікі Беларусь ад 9 красавіка 2025 г. № 12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973E5F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89D20E6" w14:textId="7192BA64" w:rsidR="00973E5F" w:rsidRPr="000E3F72" w:rsidRDefault="004F1A81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«Чарчэнне»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2208F0" w:rsidRPr="000E3F72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0E3F72">
        <w:rPr>
          <w:rFonts w:ascii="Times New Roman" w:hAnsi="Times New Roman" w:cs="Times New Roman"/>
          <w:sz w:val="30"/>
          <w:szCs w:val="30"/>
          <w:lang w:val="be-BY"/>
        </w:rPr>
        <w:t>рашэнне задач паспяховага развіцця краіны</w:t>
      </w:r>
      <w:r w:rsidR="00973E5F" w:rsidRPr="000E3F7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bookmarkEnd w:id="5"/>
    <w:p w14:paraId="75169917" w14:textId="1E63C0D8" w:rsidR="004F1A81" w:rsidRPr="00D2476F" w:rsidRDefault="002208F0" w:rsidP="004F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3F72">
        <w:rPr>
          <w:rFonts w:ascii="Times New Roman" w:hAnsi="Times New Roman" w:cs="Times New Roman"/>
          <w:sz w:val="30"/>
          <w:szCs w:val="30"/>
          <w:lang w:val="be-BY"/>
        </w:rPr>
        <w:lastRenderedPageBreak/>
        <w:t>Выр</w:t>
      </w:r>
      <w:r w:rsidR="004F1A81" w:rsidRPr="000E3F72">
        <w:rPr>
          <w:rFonts w:ascii="Times New Roman" w:hAnsi="Times New Roman" w:cs="Times New Roman"/>
          <w:sz w:val="30"/>
          <w:szCs w:val="30"/>
          <w:lang w:val="be-BY"/>
        </w:rPr>
        <w:t xml:space="preserve">ашэнне гэтых </w:t>
      </w:r>
      <w:r w:rsidR="004F1A81"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задач напрамую звязана з дасягненнем вучнямі асобасных адукацыйных вынікаў, адлюстраваных у адукацыйных стандартах і вучэбных праграмах, да якіх адносяцца: </w:t>
      </w:r>
    </w:p>
    <w:p w14:paraId="7EFBEC48" w14:textId="77777777" w:rsidR="004F1A81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уяўленні аб гісторыі чарцяжа, гістарычных асобах, якія ўнеслі вялікі ўклад у развіццё начартальнай геаметрыі; </w:t>
      </w:r>
    </w:p>
    <w:p w14:paraId="21A479C6" w14:textId="77777777" w:rsidR="004F1A81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уяўленні аб прафесіях, звязаных з канструяваннем і мадэляваннем. </w:t>
      </w:r>
    </w:p>
    <w:p w14:paraId="4DA40189" w14:textId="3DE05EE5" w:rsidR="00445556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З мэтай рэалізацыі выхаваўчага патэнцыялу вучэбнага прадмета рэкамендуецца выкарыстоўваць актыўныя метады і формы навучання (стварэнне праблемных сітуацый, дзелавая гульня, мазгавы штурм, метад праектаў, эўрыстычныя задачы), выкарыстоўваць у якасці нагляднага матэрыялу выявы знакавых помнікаў архітэктуры Беларусі</w:t>
      </w:r>
      <w:r w:rsidR="00445556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FF5C32D" w14:textId="77777777" w:rsidR="004F1A81" w:rsidRPr="00D2476F" w:rsidRDefault="00592FBE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 xml:space="preserve">5. </w:t>
      </w:r>
      <w:r w:rsidR="004F1A81" w:rsidRPr="00D2476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>Дадатковыя рэсурсы</w:t>
      </w:r>
    </w:p>
    <w:p w14:paraId="624D4586" w14:textId="77777777" w:rsidR="004F1A81" w:rsidRPr="00D2476F" w:rsidRDefault="004F1A81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інтэрнэт-рэсурсах:</w:t>
      </w:r>
    </w:p>
    <w:p w14:paraId="49711E04" w14:textId="77777777" w:rsidR="004F1A81" w:rsidRPr="00D2476F" w:rsidRDefault="002E7889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hyperlink r:id="rId24">
        <w:r w:rsidR="004F1A81" w:rsidRPr="00D2476F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="004F1A81"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– адзіны інфармацыйна-адукацыйны рэсурс;</w:t>
      </w:r>
    </w:p>
    <w:p w14:paraId="62D78C1D" w14:textId="13994E5B" w:rsidR="00232498" w:rsidRPr="00D2476F" w:rsidRDefault="002E7889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25" w:history="1">
        <w:r w:rsidR="004F1A81" w:rsidRPr="00D2476F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http://boxapps.adu.by</w:t>
        </w:r>
      </w:hyperlink>
      <w:r w:rsidR="004F1A81"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– інтэрактыўныя дыдактычныя матэрыялы па вучэбных прадметах</w:t>
      </w:r>
      <w:r w:rsidR="00A61D18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F886720" w14:textId="629B6DEC" w:rsidR="00F85271" w:rsidRPr="00D2476F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6. </w:t>
      </w:r>
      <w:r w:rsidR="004F1A81" w:rsidRPr="00D2476F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30EDC56B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bookmarkStart w:id="6" w:name="_Hlk204167871"/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план работы метадычных фарміраванняў настаўнікаў, якія выкладаюць вучэбны прадмет «Чарчэнне» 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 і інш.), у 2025/2026 навучальным годзе прапануецца ўключыць актуальныя пытанні арганізацыі адукацыйнага працэсу і методыкі выкладання вучэбнага прадмета «Чарчэнне». У кантэксце падрыхтоўкі да НДЯА–2026 рэкамендуецца працягнуць работу па фарміраванні функцыянальнай адукаванасці вучняў сродкамі вучэбнага прадмета «Чарчэнне».</w:t>
      </w:r>
    </w:p>
    <w:p w14:paraId="2CBB5C42" w14:textId="0C62D518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жнівеньскіх прадметных секцыях настаўнікаў чарчэння рэкамендуецца абмеркаваць наступныя пытанні</w:t>
      </w:r>
      <w:r w:rsidR="00DE451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p w14:paraId="2ACF2745" w14:textId="509AB694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1. Нарматыўнае прававое і навукова-метадычнае забеспячэнне адукацыйнага працэсу па вучэбным прадмеце 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«Чарчэнне»</w:t>
      </w: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 2025/2026 навучальным годзе</w:t>
      </w:r>
      <w:r w:rsidR="00DE451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p w14:paraId="68224CFE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навацыі Кодэкса Рэспублікі Беларусь аб адукацыі;</w:t>
      </w:r>
    </w:p>
    <w:p w14:paraId="06F09EB1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нарматыўныя прававыя акты, якія рэгулююць пытанні арганізацыі адукацыйнага працэсу па вучэбным прадмеце 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«Чарчэнне»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5804ADC9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2. Патрабаванні да арганізацыі адукацыйнага працэсу:</w:t>
      </w:r>
    </w:p>
    <w:p w14:paraId="468BEEC8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стварэнне бяспечных умоў арганізацыі адукацыйнага працэсу ва ўстановах агульнай сярэдняй адукацыі;</w:t>
      </w:r>
    </w:p>
    <w:p w14:paraId="015444AE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выхаваўчага патэнцыялу вучэбных заняткаў па вучэбным прадмеце</w:t>
      </w: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«Чарчэнне»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; </w:t>
      </w:r>
    </w:p>
    <w:p w14:paraId="7E692795" w14:textId="18DB6868" w:rsidR="001507D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міжпрадметных сувязей</w:t>
      </w:r>
      <w:r w:rsidR="001507D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bookmarkEnd w:id="6"/>
    <w:p w14:paraId="232083FB" w14:textId="35CB8088" w:rsidR="001507D4" w:rsidRPr="00D2476F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 xml:space="preserve">3. </w:t>
      </w:r>
      <w:r w:rsidR="00207FF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задач Года добраўпарадкавання ва ўстанове адукацыі і на прылеглай тэрыторыі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3173E99C" w14:textId="0DD6416B" w:rsidR="001507D4" w:rsidRPr="00D2476F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4. </w:t>
      </w:r>
      <w:r w:rsidR="00207FF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Аналіз вынікаў работы метадычных фарміраванняў настаўнікаў 2024/2025 навучальным годзе. Планаванне работы метадычных фарміраванняў на 2025/2026 навучальны год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. </w:t>
      </w:r>
    </w:p>
    <w:p w14:paraId="53CF6124" w14:textId="619467E4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пасяджэннях метадычных фарміраванняў настаўнікаў на працягу навучальнага года рэкамендуецца разгледзець пытанні методыкі выкладання вучэбнага прадмета з улікам наяўнага эфектыўнага педагагічнага вопыту настаўнікаў </w:t>
      </w:r>
      <w:r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рэгіён</w:t>
      </w:r>
      <w:r w:rsidR="00DE4514"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55CE8E59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праектаванне вучэбных заняткаў з выкарыстаннем сучасных педагагічных тэхналогій, накіраваных на фарміраванне прадметных, метапрадметных і асобасных кампетэнцый вучняў; </w:t>
      </w:r>
    </w:p>
    <w:p w14:paraId="7037D83A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праектная дзейнасць на ўроках чарчэння як сродак развіцця канструктарска-тэхнічных здольнасцей, сацыяльна значных якасцей асобы; </w:t>
      </w:r>
    </w:p>
    <w:p w14:paraId="296F187E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выкарыстанне практыка-арыентаваных заданняў на ўроках чарчэння як сродак павышэння цікавасці і матывацыі да вучэбнага прадмета; </w:t>
      </w:r>
    </w:p>
    <w:p w14:paraId="260B5126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фарміраванне гатоўнасці вучняў да прафесійнага самавызначэння праз арганізацыю прафарыентацыйнай работы на вучэбных занятках па вучэбным прадмеце «Чарчэнне»;</w:t>
      </w:r>
    </w:p>
    <w:p w14:paraId="1B34DB33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шляхі рэалізацыі выхаваўчага патэнцыялу вучэбнага прадмета «Чарчэнне».</w:t>
      </w:r>
    </w:p>
    <w:p w14:paraId="3206E559" w14:textId="3D133ABB" w:rsidR="001507D4" w:rsidRPr="000E3F72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1507D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44154C"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hyperlink r:id="rId26" w:history="1">
        <w:r w:rsidR="000E3F72" w:rsidRPr="00030DB0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https://www.akademy.by</w:t>
        </w:r>
      </w:hyperlink>
      <w:r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/ </w:t>
      </w:r>
      <w:hyperlink r:id="rId27" w:history="1"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Актуальныя матэрыялы</w:t>
        </w:r>
        <w:r w:rsid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/ Аб Акадэміі/ Мерапрыемствы, якія право</w:t>
        </w:r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д</w:t>
        </w:r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зяцца ў </w:t>
        </w:r>
        <w:bookmarkStart w:id="7" w:name="_GoBack"/>
        <w:bookmarkEnd w:id="7"/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п</w:t>
        </w:r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ерыяд паміж павышэннямі кваліфікацыі</w:t>
        </w:r>
      </w:hyperlink>
      <w:r w:rsidR="0044154C"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="0044154C" w:rsidRPr="000E3F72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sectPr w:rsidR="001507D4" w:rsidRPr="000E3F72" w:rsidSect="00B207B0">
      <w:headerReference w:type="default" r:id="rId2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C8F5B" w14:textId="77777777" w:rsidR="002E7889" w:rsidRDefault="002E7889" w:rsidP="00921287">
      <w:pPr>
        <w:spacing w:after="0" w:line="240" w:lineRule="auto"/>
      </w:pPr>
      <w:r>
        <w:separator/>
      </w:r>
    </w:p>
  </w:endnote>
  <w:endnote w:type="continuationSeparator" w:id="0">
    <w:p w14:paraId="6C37FFB7" w14:textId="77777777" w:rsidR="002E7889" w:rsidRDefault="002E7889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9D46" w14:textId="77777777" w:rsidR="002E7889" w:rsidRDefault="002E7889" w:rsidP="00921287">
      <w:pPr>
        <w:spacing w:after="0" w:line="240" w:lineRule="auto"/>
      </w:pPr>
      <w:r>
        <w:separator/>
      </w:r>
    </w:p>
  </w:footnote>
  <w:footnote w:type="continuationSeparator" w:id="0">
    <w:p w14:paraId="69E74B40" w14:textId="77777777" w:rsidR="002E7889" w:rsidRDefault="002E7889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74D40963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51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5E3"/>
    <w:rsid w:val="00022D6E"/>
    <w:rsid w:val="00024D91"/>
    <w:rsid w:val="00030206"/>
    <w:rsid w:val="0003197B"/>
    <w:rsid w:val="000328C0"/>
    <w:rsid w:val="000339AC"/>
    <w:rsid w:val="00037A10"/>
    <w:rsid w:val="000404D6"/>
    <w:rsid w:val="00041B84"/>
    <w:rsid w:val="0004551F"/>
    <w:rsid w:val="00052C74"/>
    <w:rsid w:val="000543FE"/>
    <w:rsid w:val="000546DA"/>
    <w:rsid w:val="00054C3D"/>
    <w:rsid w:val="00061024"/>
    <w:rsid w:val="00084F65"/>
    <w:rsid w:val="00087E04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3F72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232B8"/>
    <w:rsid w:val="001350CD"/>
    <w:rsid w:val="00136B68"/>
    <w:rsid w:val="00137D00"/>
    <w:rsid w:val="00145586"/>
    <w:rsid w:val="00145617"/>
    <w:rsid w:val="001507D4"/>
    <w:rsid w:val="00153C7F"/>
    <w:rsid w:val="00155AF2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04F3"/>
    <w:rsid w:val="001F1379"/>
    <w:rsid w:val="001F2778"/>
    <w:rsid w:val="00204E28"/>
    <w:rsid w:val="00207FF4"/>
    <w:rsid w:val="002143E9"/>
    <w:rsid w:val="002208F0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66979"/>
    <w:rsid w:val="00272F06"/>
    <w:rsid w:val="00274E56"/>
    <w:rsid w:val="002816D6"/>
    <w:rsid w:val="00283AF0"/>
    <w:rsid w:val="002840CC"/>
    <w:rsid w:val="0029282A"/>
    <w:rsid w:val="00292CD9"/>
    <w:rsid w:val="00292D79"/>
    <w:rsid w:val="00293F91"/>
    <w:rsid w:val="002A1661"/>
    <w:rsid w:val="002A21A2"/>
    <w:rsid w:val="002A628E"/>
    <w:rsid w:val="002B584E"/>
    <w:rsid w:val="002B62CB"/>
    <w:rsid w:val="002C36EB"/>
    <w:rsid w:val="002C3ED7"/>
    <w:rsid w:val="002C5DC6"/>
    <w:rsid w:val="002C7C76"/>
    <w:rsid w:val="002C7FF4"/>
    <w:rsid w:val="002D300A"/>
    <w:rsid w:val="002E36D8"/>
    <w:rsid w:val="002E7889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474C7"/>
    <w:rsid w:val="00357B19"/>
    <w:rsid w:val="0036196A"/>
    <w:rsid w:val="003664ED"/>
    <w:rsid w:val="00366839"/>
    <w:rsid w:val="003673E7"/>
    <w:rsid w:val="0037191F"/>
    <w:rsid w:val="00373089"/>
    <w:rsid w:val="00373399"/>
    <w:rsid w:val="00377698"/>
    <w:rsid w:val="00385866"/>
    <w:rsid w:val="0038771B"/>
    <w:rsid w:val="003B21AE"/>
    <w:rsid w:val="003B6186"/>
    <w:rsid w:val="003C0F30"/>
    <w:rsid w:val="003C3F27"/>
    <w:rsid w:val="003D2D2A"/>
    <w:rsid w:val="003D4107"/>
    <w:rsid w:val="003E015D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1532"/>
    <w:rsid w:val="0044154C"/>
    <w:rsid w:val="00445556"/>
    <w:rsid w:val="00446E28"/>
    <w:rsid w:val="004558D9"/>
    <w:rsid w:val="00461DF2"/>
    <w:rsid w:val="00462F46"/>
    <w:rsid w:val="00470AAF"/>
    <w:rsid w:val="00472CFB"/>
    <w:rsid w:val="00477CBA"/>
    <w:rsid w:val="00484FFB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1CFB"/>
    <w:rsid w:val="004D4740"/>
    <w:rsid w:val="004D47AB"/>
    <w:rsid w:val="004D5517"/>
    <w:rsid w:val="004E1300"/>
    <w:rsid w:val="004E53B4"/>
    <w:rsid w:val="004F1A81"/>
    <w:rsid w:val="004F253F"/>
    <w:rsid w:val="004F4659"/>
    <w:rsid w:val="004F7490"/>
    <w:rsid w:val="005024B8"/>
    <w:rsid w:val="005037F3"/>
    <w:rsid w:val="00503E06"/>
    <w:rsid w:val="00506F5B"/>
    <w:rsid w:val="00517887"/>
    <w:rsid w:val="00541AF7"/>
    <w:rsid w:val="005433DC"/>
    <w:rsid w:val="005531D4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3021"/>
    <w:rsid w:val="00676D8B"/>
    <w:rsid w:val="00680DC5"/>
    <w:rsid w:val="00682906"/>
    <w:rsid w:val="00683D07"/>
    <w:rsid w:val="006861E7"/>
    <w:rsid w:val="006959AF"/>
    <w:rsid w:val="00697175"/>
    <w:rsid w:val="006975FA"/>
    <w:rsid w:val="006A2011"/>
    <w:rsid w:val="006A238A"/>
    <w:rsid w:val="006B0A6A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464C"/>
    <w:rsid w:val="00757A57"/>
    <w:rsid w:val="00762CD3"/>
    <w:rsid w:val="007831CB"/>
    <w:rsid w:val="00787933"/>
    <w:rsid w:val="007A27D4"/>
    <w:rsid w:val="007A6982"/>
    <w:rsid w:val="007B217D"/>
    <w:rsid w:val="007B2A56"/>
    <w:rsid w:val="007B67AF"/>
    <w:rsid w:val="007C371D"/>
    <w:rsid w:val="007C68BB"/>
    <w:rsid w:val="007D1AC2"/>
    <w:rsid w:val="007D34FC"/>
    <w:rsid w:val="007D5E76"/>
    <w:rsid w:val="007D7CAE"/>
    <w:rsid w:val="007E01A8"/>
    <w:rsid w:val="007E1BD6"/>
    <w:rsid w:val="007E3BDB"/>
    <w:rsid w:val="007E7672"/>
    <w:rsid w:val="007F0221"/>
    <w:rsid w:val="007F0CF0"/>
    <w:rsid w:val="007F104B"/>
    <w:rsid w:val="008000B9"/>
    <w:rsid w:val="00803DF4"/>
    <w:rsid w:val="0080428C"/>
    <w:rsid w:val="00810B6F"/>
    <w:rsid w:val="008227CA"/>
    <w:rsid w:val="008251D0"/>
    <w:rsid w:val="0083038C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3E5F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182F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86B44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E18F5"/>
    <w:rsid w:val="00AF090B"/>
    <w:rsid w:val="00AF3B84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2AC"/>
    <w:rsid w:val="00BE5A2D"/>
    <w:rsid w:val="00BF1E1A"/>
    <w:rsid w:val="00BF6A28"/>
    <w:rsid w:val="00C016CA"/>
    <w:rsid w:val="00C016F3"/>
    <w:rsid w:val="00C1021B"/>
    <w:rsid w:val="00C114A0"/>
    <w:rsid w:val="00C11CC8"/>
    <w:rsid w:val="00C14442"/>
    <w:rsid w:val="00C20B0F"/>
    <w:rsid w:val="00C32B35"/>
    <w:rsid w:val="00C37768"/>
    <w:rsid w:val="00C475D5"/>
    <w:rsid w:val="00C52B9A"/>
    <w:rsid w:val="00C538FD"/>
    <w:rsid w:val="00C6112F"/>
    <w:rsid w:val="00C65757"/>
    <w:rsid w:val="00C6644B"/>
    <w:rsid w:val="00C70337"/>
    <w:rsid w:val="00C71E00"/>
    <w:rsid w:val="00C747C8"/>
    <w:rsid w:val="00C82D37"/>
    <w:rsid w:val="00C84B7D"/>
    <w:rsid w:val="00CB0121"/>
    <w:rsid w:val="00CB01B4"/>
    <w:rsid w:val="00CB1288"/>
    <w:rsid w:val="00CC0C4C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2476F"/>
    <w:rsid w:val="00D305BD"/>
    <w:rsid w:val="00D34924"/>
    <w:rsid w:val="00D37B4E"/>
    <w:rsid w:val="00D41CC0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4514"/>
    <w:rsid w:val="00DE5754"/>
    <w:rsid w:val="00DE6859"/>
    <w:rsid w:val="00DF76AE"/>
    <w:rsid w:val="00E0255B"/>
    <w:rsid w:val="00E02BD9"/>
    <w:rsid w:val="00E03C0D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1383"/>
    <w:rsid w:val="00E4423D"/>
    <w:rsid w:val="00E52B78"/>
    <w:rsid w:val="00E7311A"/>
    <w:rsid w:val="00E738CE"/>
    <w:rsid w:val="00E8142C"/>
    <w:rsid w:val="00E83A30"/>
    <w:rsid w:val="00E9214F"/>
    <w:rsid w:val="00E9472B"/>
    <w:rsid w:val="00EA0215"/>
    <w:rsid w:val="00EA0610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1E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272F06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BE52AC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E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/obshchee-srednee-obrazovanie/uchebnye-predmety-v-xi-klassy/cherchenie.html" TargetMode="External"/><Relationship Id="rId13" Type="http://schemas.openxmlformats.org/officeDocument/2006/relationships/hyperlink" Target="https://adu.by/ru/homeru/obrazovatelnyj-protsess/obshchee-srednee-obrazovanie/uchebnye-predmety-v-xi-klassy/cherchenie.html" TargetMode="External"/><Relationship Id="rId18" Type="http://schemas.openxmlformats.org/officeDocument/2006/relationships/hyperlink" Target="https://adu.by/ru/homeru/obrazovatelnyj-protsess/obshchee-srednee-obrazovanie/doprofessionalnaya-i-professionalnaya-podgotovka.html" TargetMode="External"/><Relationship Id="rId26" Type="http://schemas.openxmlformats.org/officeDocument/2006/relationships/hyperlink" Target="https://www.akademy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://boxapps.adu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/obshchee-srednee-obrazovanie/uchebnye-predmety-v-xi-klassy/cherchenie.html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/obshchee-srednee-obrazovanie/uchebnye-predmety-v-xi-klassy/cherchenie.html" TargetMode="External"/><Relationship Id="rId24" Type="http://schemas.openxmlformats.org/officeDocument/2006/relationships/hyperlink" Target="https://eio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niko.unibel.by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://profil.adu.by" TargetMode="External"/><Relationship Id="rId22" Type="http://schemas.openxmlformats.org/officeDocument/2006/relationships/hyperlink" Target="https://adu.by/ru/pedagogam/natsionalnoe-issledovanie-kachestva-obrazovaniya-niko.html" TargetMode="External"/><Relationship Id="rId27" Type="http://schemas.openxmlformats.org/officeDocument/2006/relationships/hyperlink" Target="https://www.akademy.by/index.php/ru/aktual/37-anons-2?clckid=41dea54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CD54-A50E-4530-9ED5-64A88478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2024-05-31T12:15:00Z</cp:lastPrinted>
  <dcterms:created xsi:type="dcterms:W3CDTF">2025-08-18T13:23:00Z</dcterms:created>
  <dcterms:modified xsi:type="dcterms:W3CDTF">2025-08-18T13:23:00Z</dcterms:modified>
</cp:coreProperties>
</file>