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A42B" w14:textId="77777777" w:rsidR="00D4029C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Метадычныя рэкамендацыі па арганізацыі адукацыйнага </w:t>
      </w:r>
    </w:p>
    <w:p w14:paraId="37E7B9A3" w14:textId="77777777" w:rsidR="00D4029C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працэсу пры вывучэнні асобных вучэбных прадметаў на </w:t>
      </w:r>
    </w:p>
    <w:p w14:paraId="46FFE54F" w14:textId="77777777" w:rsidR="00D4029C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>павышаным узроўні ў</w:t>
      </w:r>
      <w:r w:rsidR="008D0F28" w:rsidRPr="00885EF9">
        <w:rPr>
          <w:rFonts w:ascii="Times New Roman" w:hAnsi="Times New Roman" w:cs="Times New Roman"/>
          <w:b/>
          <w:sz w:val="30"/>
          <w:szCs w:val="30"/>
          <w:lang w:val="be-BY"/>
        </w:rPr>
        <w:t> </w:t>
      </w:r>
      <w:r w:rsidR="00D4029C"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X</w:t>
      </w:r>
      <w:r w:rsidR="00D4029C" w:rsidRPr="00D4029C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–</w:t>
      </w:r>
      <w:r w:rsidR="00D4029C" w:rsidRPr="006B50E0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XI</w:t>
      </w: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клас</w:t>
      </w:r>
      <w:r w:rsidR="00D4029C">
        <w:rPr>
          <w:rFonts w:ascii="Times New Roman" w:hAnsi="Times New Roman" w:cs="Times New Roman"/>
          <w:b/>
          <w:sz w:val="30"/>
          <w:szCs w:val="30"/>
          <w:lang w:val="be-BY"/>
        </w:rPr>
        <w:t>ах</w:t>
      </w: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ўстаноў адукацыі,</w:t>
      </w:r>
    </w:p>
    <w:p w14:paraId="61948B24" w14:textId="77777777" w:rsidR="00D4029C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якія рэалізуюць адукацыйную праграму сярэдняй адукацыі, </w:t>
      </w:r>
    </w:p>
    <w:p w14:paraId="70DA2F67" w14:textId="6DB02D82" w:rsidR="00F57841" w:rsidRPr="00885EF9" w:rsidRDefault="00F57841" w:rsidP="00F5784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 выкарыстаннем </w:t>
      </w:r>
      <w:r w:rsidR="00885EF9">
        <w:rPr>
          <w:rFonts w:ascii="Times New Roman" w:hAnsi="Times New Roman" w:cs="Times New Roman"/>
          <w:b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b/>
          <w:sz w:val="30"/>
          <w:szCs w:val="30"/>
          <w:lang w:val="be-BY"/>
        </w:rPr>
        <w:t>ных дапаможнікаў</w:t>
      </w:r>
    </w:p>
    <w:p w14:paraId="02AFF7B1" w14:textId="608B1D3D" w:rsidR="00F57841" w:rsidRPr="00885EF9" w:rsidRDefault="00F57841" w:rsidP="00F5784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Новыя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ныя дапаможнікі </w:t>
      </w:r>
      <w:r w:rsidR="00D4029C" w:rsidRPr="00D97546">
        <w:rPr>
          <w:rFonts w:ascii="Times New Roman" w:hAnsi="Times New Roman" w:cs="Times New Roman"/>
          <w:sz w:val="30"/>
          <w:szCs w:val="30"/>
          <w:lang w:val="be-BY"/>
        </w:rPr>
        <w:t xml:space="preserve">для </w:t>
      </w:r>
      <w:r w:rsidR="00D4029C" w:rsidRPr="00D97546">
        <w:rPr>
          <w:rFonts w:ascii="Times New Roman" w:hAnsi="Times New Roman" w:cs="Times New Roman"/>
          <w:color w:val="000000" w:themeColor="text1"/>
          <w:sz w:val="30"/>
          <w:szCs w:val="30"/>
        </w:rPr>
        <w:t>X</w:t>
      </w:r>
      <w:r w:rsidR="00D4029C" w:rsidRPr="00D9754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і </w:t>
      </w:r>
      <w:r w:rsidR="00D4029C" w:rsidRPr="00D9754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D4029C" w:rsidRPr="00D9754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класа</w:t>
      </w:r>
      <w:r w:rsidR="00D97546" w:rsidRPr="00D9754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</w:t>
      </w:r>
      <w:r w:rsidR="00D4029C" w:rsidRPr="00D4029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(за выключэннем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дапаможнікаў па дапрызыўнай і медыцынскай падрыхтоўцы) распрацаваны з улікам забеспячэння магчымасці вывучэння вучэбнага прадмета як на базавым, так і павышаным узроўні ў адпаведнасці з тыпавым вучэбным планам установы агульнай сярэдняй адукацыі адпаведнага віду.</w:t>
      </w:r>
    </w:p>
    <w:p w14:paraId="33BDE21F" w14:textId="13114ECB" w:rsidR="00F57841" w:rsidRDefault="00F57841" w:rsidP="00F5784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Павышаны ўзровень вывучэння вучэбнага прадмета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–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вывучэнне зместу адпаведнага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вучэбнага прадмета, што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ўключае ў сябе базавы ўзровень вывучэння гэтага вучэбнага прадмета з паглыбленнем яго зместу (арт. 158 Кодэксу Рэспублікі Беларусь аб адукацыі).</w:t>
      </w:r>
    </w:p>
    <w:p w14:paraId="138DF270" w14:textId="63BF1B19" w:rsidR="00BD07AF" w:rsidRPr="00885EF9" w:rsidRDefault="00F57841" w:rsidP="00F57841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жніках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друкаванай аснове, якія ўтрымліваюць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ныя матэрыялы для базавага ўзроўню вывучэння вучэбнага прадмета, маюцца спасылкі на дадатковыя матэрыялы, якія рэкамендуецца выкарыстоўваць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вучням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пры вывучэнні вучэбнага прадмета на павышаным узроўні (дадатковыя матэрыялы). Такія спасылкі ў 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дапаможніках пазначаны спецыяльным знакам-сімвалам</w:t>
      </w:r>
      <w:r w:rsidRPr="00885EF9">
        <w:rPr>
          <w:rFonts w:ascii="Times New Roman" w:hAnsi="Times New Roman" w:cs="Times New Roman"/>
          <w:noProof/>
          <w:color w:val="000000" w:themeColor="text1"/>
          <w:sz w:val="30"/>
          <w:szCs w:val="30"/>
          <w:lang w:val="be-BY" w:eastAsia="ru-RU"/>
        </w:rPr>
        <w:t xml:space="preserve"> </w:t>
      </w:r>
      <w:r w:rsidR="00BD07AF" w:rsidRPr="00885EF9">
        <w:rPr>
          <w:rFonts w:ascii="Times New Roman" w:hAnsi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 wp14:anchorId="17BABFDC" wp14:editId="725F0E78">
            <wp:extent cx="358686" cy="284671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Наяўнасць такога знака азначае, што для працы з дадатковымі матэрыяламі неабходна перайсці ў адпаведны электронны дадатак да падручніка на інтэрнэт-рэсурс «Профільнае навучанне» </w:t>
      </w:r>
      <w:r w:rsidR="008C4168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</w:t>
      </w:r>
      <w:hyperlink r:id="rId8" w:history="1"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http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profil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adu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.</w:t>
        </w:r>
        <w:proofErr w:type="spellStart"/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by</w:t>
        </w:r>
        <w:proofErr w:type="spellEnd"/>
      </w:hyperlink>
      <w:r w:rsidR="008C4168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).</w:t>
      </w:r>
    </w:p>
    <w:p w14:paraId="22FD662E" w14:textId="53ED9C0E" w:rsidR="005035CD" w:rsidRDefault="008C4168" w:rsidP="00DC2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</w:t>
      </w:r>
      <w:r w:rsidR="00F57841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 інтэрнэт-рэсурсе «Профільнае навучанне»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</w:t>
      </w:r>
      <w:hyperlink r:id="rId9" w:history="1"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http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profil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adu</w:t>
        </w:r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  <w:lang w:val="be-BY"/>
          </w:rPr>
          <w:t>.</w:t>
        </w:r>
        <w:proofErr w:type="spellStart"/>
        <w:r w:rsidR="009E091D" w:rsidRPr="009E091D">
          <w:rPr>
            <w:rStyle w:val="a9"/>
            <w:rFonts w:ascii="Times New Roman" w:hAnsi="Times New Roman" w:cs="Times New Roman"/>
            <w:sz w:val="30"/>
            <w:szCs w:val="30"/>
          </w:rPr>
          <w:t>by</w:t>
        </w:r>
        <w:proofErr w:type="spellEnd"/>
      </w:hyperlink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) 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размешчаны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электронныя 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дадаткі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 </w:t>
      </w:r>
      <w:r w:rsidR="000B6D0D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ных дапа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можнікаў па вучэбных прадметах «Беларуская мова», «Беларуская літаратура», «Руская мова», «Руская літаратура»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«Сусветная гісторыя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»,</w:t>
      </w:r>
      <w:r w:rsidR="000B6D0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Гісторыя Беларусі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»,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«Грамадазнаўства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»,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«Інфарматыка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»,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D4029C" w:rsidRPr="00D4029C">
        <w:rPr>
          <w:rFonts w:ascii="Times New Roman" w:eastAsia="Calibri" w:hAnsi="Times New Roman" w:cs="Times New Roman"/>
          <w:sz w:val="30"/>
          <w:szCs w:val="30"/>
          <w:lang w:val="be-BY"/>
        </w:rPr>
        <w:t>«Ге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аграфі</w:t>
      </w:r>
      <w:r w:rsidR="00D4029C" w:rsidRPr="00D4029C">
        <w:rPr>
          <w:rFonts w:ascii="Times New Roman" w:eastAsia="Calibri" w:hAnsi="Times New Roman" w:cs="Times New Roman"/>
          <w:sz w:val="30"/>
          <w:szCs w:val="30"/>
          <w:lang w:val="be-BY"/>
        </w:rPr>
        <w:t>я»,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Б</w:t>
      </w:r>
      <w:r w:rsidR="005035CD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іялогія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», «Фізіка», «Хімія»</w:t>
      </w:r>
      <w:r w:rsidR="00D4029C" w:rsidRPr="00D4029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выкарыстання 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мі X 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</w:t>
      </w:r>
      <w:r w:rsidR="00D4029C" w:rsidRPr="00203D7B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класа</w:t>
      </w:r>
      <w:r w:rsidR="00D97546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пры вывучэнні адпаведн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ых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вучэбн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ых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прадмета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ў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на павышаным узроўні</w:t>
      </w:r>
      <w:r w:rsidR="00DC28D9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 </w:t>
      </w:r>
      <w:r w:rsidR="00D4029C">
        <w:rPr>
          <w:rFonts w:ascii="Times New Roman" w:eastAsia="Calibri" w:hAnsi="Times New Roman" w:cs="Times New Roman"/>
          <w:sz w:val="30"/>
          <w:szCs w:val="30"/>
          <w:lang w:val="be-BY"/>
        </w:rPr>
        <w:t>вучэб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 w:rsidR="00DC28D9">
        <w:rPr>
          <w:rFonts w:ascii="Times New Roman" w:eastAsia="Calibri" w:hAnsi="Times New Roman" w:cs="Times New Roman"/>
          <w:sz w:val="30"/>
          <w:szCs w:val="30"/>
          <w:lang w:val="be-BY"/>
        </w:rPr>
        <w:t>ага</w:t>
      </w:r>
      <w:r w:rsidR="00D4029C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дапаможніка 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«Чарчэнне»</w:t>
      </w:r>
      <w:r w:rsidR="00DC28D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 w:rsidR="00DC28D9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выкарыстання </w:t>
      </w:r>
      <w:r w:rsidR="00DC28D9">
        <w:rPr>
          <w:rFonts w:ascii="Times New Roman" w:eastAsia="Calibri" w:hAnsi="Times New Roman" w:cs="Times New Roman"/>
          <w:sz w:val="30"/>
          <w:szCs w:val="30"/>
          <w:lang w:val="be-BY"/>
        </w:rPr>
        <w:t>вучня</w:t>
      </w:r>
      <w:r w:rsidR="00DC28D9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мі X класа</w:t>
      </w:r>
      <w:r w:rsidR="00F57841" w:rsidRPr="00885EF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0E4A7D50" w14:textId="6357B7A1" w:rsidR="00D4029C" w:rsidRPr="00885EF9" w:rsidRDefault="00D4029C" w:rsidP="00DC28D9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ны матэрыял, прызначаны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для вучняў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, якія вывучаюць вучэбны прадмет «Матэматыка» на павышаным узроўні, змяшчаецца ў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ных дапаможніках «Зборнік задач па алгебры</w:t>
      </w:r>
      <w:r w:rsid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205A7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10 клас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(базавы і павышаны ўзроўні)»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«Зборнік задач па алгебры</w:t>
      </w:r>
      <w:r w:rsid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205A7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</w:t>
      </w:r>
      <w:r w:rsid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</w:t>
      </w:r>
      <w:r w:rsidR="00F205A7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клас 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(базавы і павышаны ўзроўні)»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аўтараў 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Пірутка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І.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Г.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Арэф’ева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й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; 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«Зборнік задач па 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геаметрыі. 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10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-11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клас</w:t>
      </w:r>
      <w:r w:rsidR="00F205A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» 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(базавы і павышаны ўзроўні), 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«Геаметрыя. 10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клас (базавы і павышаны 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ўзроўні)»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«Геаметрыя. 11 </w:t>
      </w:r>
      <w:r w:rsidR="00DC28D9" w:rsidRPr="00885EF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клас (базавы і павышаны </w:t>
      </w:r>
      <w:r w:rsidR="00DC28D9"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ўзроўні)»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аўтараў Л.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 </w:t>
      </w:r>
      <w:r w:rsidRPr="00083D2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Латоціна</w:t>
      </w:r>
      <w:r w:rsidR="00DC28D9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і інш.</w:t>
      </w:r>
    </w:p>
    <w:p w14:paraId="36F277E9" w14:textId="77777777" w:rsidR="00F205A7" w:rsidRDefault="00F205A7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</w:pPr>
    </w:p>
    <w:p w14:paraId="049D1DF7" w14:textId="16EC7AE2" w:rsidR="005035CD" w:rsidRPr="00885EF9" w:rsidRDefault="005035CD" w:rsidP="00D64EA4">
      <w:pPr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lastRenderedPageBreak/>
        <w:t>Агульная характарыстыка электроннага дадатк</w:t>
      </w:r>
      <w:r w:rsidR="000B6D0D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а</w:t>
      </w:r>
      <w:r w:rsidRPr="00885EF9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 xml:space="preserve"> да падручніка для вывучэння зместу вучэбнага прадмета на павышаным узроўні</w:t>
      </w:r>
    </w:p>
    <w:p w14:paraId="63216ED1" w14:textId="2E1E0517" w:rsidR="005035CD" w:rsidRPr="00885EF9" w:rsidRDefault="005035CD" w:rsidP="00D64EA4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Электронны дадатак да падручніка для вывучэння зместу вучэбнага прадмета на павышаным узроўні (далей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–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ЭД) уяўляе сабой сістэмнае вучэбна-метадычнае забеспячэнне, якое дазваляе рэалізаваць поўны дыдактычны цыкл навучання,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што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базуецца на інфармацыйна-камунікацыйных тэхналог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іях і прымяненні сучасных форм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і метадаў навучання.</w:t>
      </w:r>
    </w:p>
    <w:p w14:paraId="14A5328D" w14:textId="24E53007" w:rsidR="005035CD" w:rsidRPr="00885EF9" w:rsidRDefault="005035CD" w:rsidP="00D64EA4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ЭД захоўвае пераемнасць з традыцыйнымі вучэбнымі выданнямі на друкаванай аснове, выконваючы і дапаўняючы неабходныя функцыі: інфармацыйную, сістэматызуючую, матывацыйную, каардынуючую, выхаваўчую. Матэрыялы, уключаныя ў ЭД, прайшлі ўсе этапы навукова-педа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гагічнай экспертызы і дапушчаны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да выкарыстання ва ўстановах агульнай сярэдняй адукацыі. Як і традыцыйны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ны дапаможнік, ЭД</w:t>
      </w:r>
      <w:r w:rsidR="009E091D">
        <w:rPr>
          <w:rFonts w:ascii="Times New Roman" w:hAnsi="Times New Roman"/>
          <w:color w:val="000000" w:themeColor="text1"/>
          <w:sz w:val="30"/>
          <w:szCs w:val="30"/>
          <w:lang w:val="be-BY"/>
        </w:rPr>
        <w:t> 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змяшчае сістэмн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і поўн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выклад зместу вучэбнага прадмета ў адпаведнасці з вучэбнымі праграмамі (базавы і павышаны ўзроўні). Ён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закліканы 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падтрымліваць усе асноўныя этапы адукацыйнага працэсу і ствараць аснову для яго ажыццяўлення з выкарыстаннем інфармацыйна-камунікацыйных тэхналогій.</w:t>
      </w:r>
    </w:p>
    <w:p w14:paraId="209110E9" w14:textId="116D8119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ЭД, як крос-платформавае рашэнне, можа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ўзнаўляцца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на інтэр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актыўных панэлях (дошках), камп’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ютарах, планшэтах і іншых мабільных прыстасаваннях.</w:t>
      </w:r>
    </w:p>
    <w:p w14:paraId="78426B45" w14:textId="502BCAF3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ЭД абсталяваны апаратам арганізацыі засваення вучэбнага матэрыялу і праверкі ведаў вучняў, які прадстаўлены разгорнутай сістэмай разнастай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ных заданняў, аб’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яднаных агульнымі метадычнымі і дыдактычныя мэтамі.</w:t>
      </w:r>
    </w:p>
    <w:p w14:paraId="271A31DA" w14:textId="4D195AD5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Асноўны змест ЭД складае тэкст; методыка і прыёмы працы з тэкстам у выпадку выкарыстання ЭД аналагічны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методыкам працы з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ным дапаможнікам на друкаванай аснове.</w:t>
      </w:r>
    </w:p>
    <w:p w14:paraId="32F72E5F" w14:textId="3828CBC5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Ілюстрацыйны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рад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вучэб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ных дапаможнікаў на друкаванай аснове, прадстаўлены малюнкамі, схемамі, графікамі, дыяграмамі, фатаграфіямі і калажамі рознага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віду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у ЭД становіцца інтэрактыўным, ілюстрацыі павялічваюцца пры іх актывізацыі, што важна для матывацыі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ў да вывучэння вучэбнага прадмета, зручна пры індывідуальнай </w:t>
      </w:r>
      <w:r w:rsidR="000B6D0D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рабоце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на прыстасаваннях з рознымі памерамі экранаў і можа быць выкарыстана пры франтальнай </w:t>
      </w:r>
      <w:r w:rsidR="00083D25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рабоце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ў класе з прымяненнем інтэрактыўнай дошкі (інтэрактыўнай панэлі).</w:t>
      </w:r>
    </w:p>
    <w:p w14:paraId="08CF7368" w14:textId="7A196863" w:rsidR="005035CD" w:rsidRPr="00885EF9" w:rsidRDefault="005035CD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Пры неабходнасці матэрыял ЭД (практыкаванні, заданні і да т.п.) можна раздрукаваць.</w:t>
      </w:r>
    </w:p>
    <w:p w14:paraId="00880B78" w14:textId="77777777" w:rsidR="00426A18" w:rsidRPr="00885EF9" w:rsidRDefault="00426A18" w:rsidP="005035C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</w:p>
    <w:p w14:paraId="5F18DEDF" w14:textId="77777777" w:rsidR="00426A18" w:rsidRPr="00885EF9" w:rsidRDefault="00426A18" w:rsidP="00D64EA4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  <w:t>Асаблівасці выкарыстання ЭД у адукацыйным працэсе</w:t>
      </w:r>
    </w:p>
    <w:p w14:paraId="2DD52275" w14:textId="360F5038" w:rsidR="00426A18" w:rsidRPr="00885EF9" w:rsidRDefault="00426A18" w:rsidP="00D64EA4">
      <w:pPr>
        <w:autoSpaceDN w:val="0"/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lastRenderedPageBreak/>
        <w:t xml:space="preserve">Максімальны эфект ад выкарыстання ЭД будзе пры наяўнасці магчымасці яго выкарыстання кожным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вучне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м. У гэтай сувязі рэкамендуецца задзейнічаць для арганізацыі адукацыйнага працэсу камп’ютарныя класы, можна пад кіраўніцтвам настаўніка арганізаваць працу з выкарыстаннем асабістых мабільных прыстасаванняў вучняў (смартфоны, планшэтныя прылады, ноўтбукі). Мэтазгодна выкарыстоўваць інтэрактыўныя панэлі, праекцыйны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прылады.</w:t>
      </w:r>
    </w:p>
    <w:p w14:paraId="5611DAAB" w14:textId="7F5AEA59" w:rsidR="00930D03" w:rsidRPr="00885EF9" w:rsidRDefault="00426A18" w:rsidP="00426A1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Арганізацыйныя асаблівасці адукацыйнага працэсу з выкарыстаннем ЭД могуць залежаць ад пастаўленых настаўнікам задач, мэтавага прызначэння выкарыстання матэрыялаў ЭД,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віду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ўрока: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5"/>
        <w:gridCol w:w="7053"/>
      </w:tblGrid>
      <w:tr w:rsidR="00930D03" w:rsidRPr="00885EF9" w14:paraId="14445C5C" w14:textId="77777777" w:rsidTr="00EE0D4F">
        <w:tc>
          <w:tcPr>
            <w:tcW w:w="2525" w:type="dxa"/>
          </w:tcPr>
          <w:p w14:paraId="05FEBA20" w14:textId="258F1B4E" w:rsidR="00930D03" w:rsidRPr="00885EF9" w:rsidRDefault="00426A18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Мэтавае прызначэнне выкарыстання матэрыялаў ЭД</w:t>
            </w:r>
          </w:p>
        </w:tc>
        <w:tc>
          <w:tcPr>
            <w:tcW w:w="7053" w:type="dxa"/>
          </w:tcPr>
          <w:p w14:paraId="18371599" w14:textId="0CBD618D" w:rsidR="00930D03" w:rsidRPr="00885EF9" w:rsidRDefault="00426A18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Арганізацыя працы</w:t>
            </w:r>
          </w:p>
        </w:tc>
      </w:tr>
      <w:tr w:rsidR="00930D03" w:rsidRPr="00885EF9" w14:paraId="3A7ABCEC" w14:textId="77777777" w:rsidTr="00EE0D4F">
        <w:tc>
          <w:tcPr>
            <w:tcW w:w="2525" w:type="dxa"/>
          </w:tcPr>
          <w:p w14:paraId="1D97FDBB" w14:textId="55F847A2" w:rsidR="00930D03" w:rsidRPr="00885EF9" w:rsidRDefault="00426A18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Крыніца новых ведаў</w:t>
            </w:r>
          </w:p>
        </w:tc>
        <w:tc>
          <w:tcPr>
            <w:tcW w:w="7053" w:type="dxa"/>
          </w:tcPr>
          <w:p w14:paraId="1BBBA57C" w14:textId="4AA325B7" w:rsidR="00426A18" w:rsidRPr="00885EF9" w:rsidRDefault="00426A18" w:rsidP="00426A1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• Індывідуальная работа з выкарыстаннем ЭД на індывідуальных прыстасаваннях: планшэтах, камп’ютарах, смартфонах;</w:t>
            </w:r>
          </w:p>
          <w:p w14:paraId="08C85387" w14:textId="43438F30" w:rsidR="00426A18" w:rsidRPr="00885EF9" w:rsidRDefault="00426A18" w:rsidP="00426A1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Групавая </w:t>
            </w:r>
            <w:r w:rsidR="009C78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работа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ў камп’ютарных класах;</w:t>
            </w:r>
          </w:p>
          <w:p w14:paraId="6A899089" w14:textId="3530C2EC" w:rsidR="00930D03" w:rsidRPr="00885EF9" w:rsidRDefault="00426A18" w:rsidP="009C784A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Франтальная </w:t>
            </w:r>
            <w:r w:rsidR="009C78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работа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з выкарыстаннем праекцыйнага абсталявання, інтэрактыўнай панэлі</w:t>
            </w:r>
          </w:p>
        </w:tc>
      </w:tr>
      <w:tr w:rsidR="00930D03" w:rsidRPr="00D04048" w14:paraId="23BD493F" w14:textId="77777777" w:rsidTr="00EE0D4F">
        <w:tc>
          <w:tcPr>
            <w:tcW w:w="2525" w:type="dxa"/>
          </w:tcPr>
          <w:p w14:paraId="11AE8BD2" w14:textId="7B77B14C" w:rsidR="00930D03" w:rsidRPr="00885EF9" w:rsidRDefault="00426A18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Крыніца дадатковай інфармацыі</w:t>
            </w:r>
          </w:p>
        </w:tc>
        <w:tc>
          <w:tcPr>
            <w:tcW w:w="7053" w:type="dxa"/>
          </w:tcPr>
          <w:p w14:paraId="100F2B12" w14:textId="0DC763CA" w:rsidR="00426A18" w:rsidRPr="00885EF9" w:rsidRDefault="00930D03" w:rsidP="00426A1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</w:t>
            </w:r>
            <w:r w:rsidR="00426A18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Візуалізацыя складаных працэсаў і з</w:t>
            </w:r>
            <w:r w:rsidR="009C78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’</w:t>
            </w:r>
            <w:r w:rsidR="00426A18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яў для пашырэння і паглыблення ведаў (з выкарыстаннем праекцыйнага абсталявання, інтэрактыўнай панэлі);</w:t>
            </w:r>
          </w:p>
          <w:p w14:paraId="1B772761" w14:textId="796FD923" w:rsidR="00426A18" w:rsidRPr="00885EF9" w:rsidRDefault="00426A18" w:rsidP="00426A1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• Выкарыстанне мультымедыйных кампанентаў для рашэння даследчых, праектных заданняў і г. д. (з</w:t>
            </w:r>
            <w:r w:rsidR="009E091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 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выкарыстаннем мабільных прылад);</w:t>
            </w:r>
          </w:p>
          <w:p w14:paraId="46541BDA" w14:textId="7602D308" w:rsidR="00930D03" w:rsidRPr="00885EF9" w:rsidRDefault="00426A18" w:rsidP="009E091D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Індывідуальная работа ці </w:t>
            </w:r>
            <w:r w:rsidR="009C784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работа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з малымі групамі па індывідуаль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ных адукацыйных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маршрутах (з</w:t>
            </w:r>
            <w:r w:rsidR="009E091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 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выкар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ыстаннем мабільных прылад, камп’ю</w:t>
            </w: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тараў)</w:t>
            </w:r>
          </w:p>
        </w:tc>
      </w:tr>
      <w:tr w:rsidR="00930D03" w:rsidRPr="00D04048" w14:paraId="4704CA94" w14:textId="77777777" w:rsidTr="00EE0D4F">
        <w:trPr>
          <w:trHeight w:val="804"/>
        </w:trPr>
        <w:tc>
          <w:tcPr>
            <w:tcW w:w="2525" w:type="dxa"/>
          </w:tcPr>
          <w:p w14:paraId="2FAFC191" w14:textId="3B9D5F7C" w:rsidR="00930D03" w:rsidRPr="00885EF9" w:rsidRDefault="009C784A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База мультымедыйных аб’</w:t>
            </w:r>
            <w:r w:rsidR="00426A18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ектаў</w:t>
            </w:r>
          </w:p>
        </w:tc>
        <w:tc>
          <w:tcPr>
            <w:tcW w:w="7053" w:type="dxa"/>
          </w:tcPr>
          <w:p w14:paraId="04A19CB0" w14:textId="574C995F" w:rsidR="00930D03" w:rsidRPr="00885EF9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Выкарыстанне мультымедыйных кампанентаў для канструявання ўрока (з выкарыстаннем праекцыйнага абсталявання, інтэрактыўнай панэлі)</w:t>
            </w:r>
          </w:p>
        </w:tc>
      </w:tr>
      <w:tr w:rsidR="00930D03" w:rsidRPr="00D04048" w14:paraId="169876E3" w14:textId="77777777" w:rsidTr="00EE0D4F">
        <w:tc>
          <w:tcPr>
            <w:tcW w:w="2525" w:type="dxa"/>
          </w:tcPr>
          <w:p w14:paraId="1DDC63EA" w14:textId="14DAC989" w:rsidR="00930D03" w:rsidRPr="00885EF9" w:rsidRDefault="00426A18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База сродкаў кантролю ведаў</w:t>
            </w:r>
          </w:p>
        </w:tc>
        <w:tc>
          <w:tcPr>
            <w:tcW w:w="7053" w:type="dxa"/>
          </w:tcPr>
          <w:p w14:paraId="2AF1BAD0" w14:textId="162FDD9D" w:rsidR="00930D03" w:rsidRPr="00885EF9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• </w:t>
            </w:r>
            <w:r w:rsidR="00EE0D4F" w:rsidRPr="00885EF9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База для складання настаўнікам індывідуальных камплектаў заданняў для адпрацоўкі, праверкі, кантролю ведаў, карэкціроўкі індывідуальных адукацыйных маршрутаў вучняў (з выкарыстаннем індывідуальных мабільных прылад)</w:t>
            </w:r>
          </w:p>
        </w:tc>
      </w:tr>
    </w:tbl>
    <w:p w14:paraId="1D4006C2" w14:textId="77777777" w:rsidR="00EE0D4F" w:rsidRPr="00885EF9" w:rsidRDefault="00EE0D4F" w:rsidP="00EE0D4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</w:p>
    <w:p w14:paraId="054F3BE7" w14:textId="7E3C4795" w:rsidR="00EE0D4F" w:rsidRPr="00885EF9" w:rsidRDefault="00EE0D4F" w:rsidP="00EE0D4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Інтэрактыўнасць, інфармацыйная і метадычная насычанасць ЭД забяспечваюць магчымасць эфектыўна прымяняць педагагічныя тэхналогіі 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lastRenderedPageBreak/>
        <w:t xml:space="preserve">змешанага навучання ў традыцыйнай класна-ўрочнай сістэме. Адна з іх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–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гэта мадэль «перавернуты клас».</w:t>
      </w:r>
    </w:p>
    <w:p w14:paraId="4BB9C62A" w14:textId="2AF184A0" w:rsidR="00EE0D4F" w:rsidRPr="00885EF9" w:rsidRDefault="00EE0D4F" w:rsidP="00EE0D4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Мадэль «перавернуты клас» выкарыстоўваецца для арганізацыі самастойнай вучэбнай дзейнасці пры вывучэнні зместу вучэбнага прадмета. Дадзеная мадэль мае на ўвазе папярэднюю самастойную тэарэтычную падрыхтоўку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ў дома.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Работа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ў класе прысвячаецца абмеркаванню вывучанага, розным відам дзейнасці, арганізацыі індывідуальнай і групавой формы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работы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за кошт вызвалення часу на азнаямленне з тэарэтычным матэрыялам.</w:t>
      </w:r>
    </w:p>
    <w:p w14:paraId="03F5B0B1" w14:textId="4C589378" w:rsidR="00930D03" w:rsidRPr="00885EF9" w:rsidRDefault="00EE0D4F" w:rsidP="00EE0D4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Падчас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работы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па мадэлі «перавернуты клас» узрастае доля адказнасці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вучня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стымулюецца развіццё яго асобасных характарыстык (актыўнасць, ініцыятыўнасць) і метапрадметных навыкаў (самаарганізацыя, кіраванне часам, 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работ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а ў камандзе). Абавязковай умо</w:t>
      </w:r>
      <w:r w:rsidR="009C784A">
        <w:rPr>
          <w:rFonts w:ascii="Times New Roman" w:hAnsi="Times New Roman"/>
          <w:color w:val="000000" w:themeColor="text1"/>
          <w:sz w:val="30"/>
          <w:szCs w:val="30"/>
          <w:lang w:val="be-BY"/>
        </w:rPr>
        <w:t>вай выкарыстання гэтай мадэлі з’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яўляецца наяўнасць хатняга камп’ютара ці мабільнага прыстасавання з доступам да глабальнай камп’ютарнай сеткі </w:t>
      </w:r>
      <w:r w:rsidR="009E091D"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і</w:t>
      </w:r>
      <w:r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нтэрнэт</w:t>
      </w:r>
      <w:r w:rsidR="00930D03" w:rsidRPr="00885EF9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</w:p>
    <w:p w14:paraId="03881C85" w14:textId="77777777" w:rsidR="00E076F7" w:rsidRPr="00885EF9" w:rsidRDefault="00E076F7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E076F7" w:rsidRPr="00885EF9" w:rsidSect="004E18B4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64917" w14:textId="77777777" w:rsidR="00896C37" w:rsidRDefault="00896C37" w:rsidP="00930D03">
      <w:pPr>
        <w:spacing w:after="0" w:line="240" w:lineRule="auto"/>
      </w:pPr>
      <w:r>
        <w:separator/>
      </w:r>
    </w:p>
  </w:endnote>
  <w:endnote w:type="continuationSeparator" w:id="0">
    <w:p w14:paraId="423AACBE" w14:textId="77777777" w:rsidR="00896C37" w:rsidRDefault="00896C37" w:rsidP="0093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190274"/>
      <w:docPartObj>
        <w:docPartGallery w:val="Page Numbers (Bottom of Page)"/>
        <w:docPartUnique/>
      </w:docPartObj>
    </w:sdtPr>
    <w:sdtEndPr/>
    <w:sdtContent>
      <w:p w14:paraId="1E4FC310" w14:textId="77777777" w:rsidR="00DA549D" w:rsidRDefault="006F04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A4">
          <w:rPr>
            <w:noProof/>
          </w:rPr>
          <w:t>4</w:t>
        </w:r>
        <w:r>
          <w:fldChar w:fldCharType="end"/>
        </w:r>
      </w:p>
    </w:sdtContent>
  </w:sdt>
  <w:p w14:paraId="74FB06B0" w14:textId="77777777" w:rsidR="00DA549D" w:rsidRDefault="00896C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D716" w14:textId="77777777" w:rsidR="00896C37" w:rsidRDefault="00896C37" w:rsidP="00930D03">
      <w:pPr>
        <w:spacing w:after="0" w:line="240" w:lineRule="auto"/>
      </w:pPr>
      <w:r>
        <w:separator/>
      </w:r>
    </w:p>
  </w:footnote>
  <w:footnote w:type="continuationSeparator" w:id="0">
    <w:p w14:paraId="736267D7" w14:textId="77777777" w:rsidR="00896C37" w:rsidRDefault="00896C37" w:rsidP="0093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8D"/>
    <w:rsid w:val="00083D25"/>
    <w:rsid w:val="000B6D0D"/>
    <w:rsid w:val="000B7F49"/>
    <w:rsid w:val="000E1614"/>
    <w:rsid w:val="00130331"/>
    <w:rsid w:val="001605E0"/>
    <w:rsid w:val="001B01F4"/>
    <w:rsid w:val="0021628D"/>
    <w:rsid w:val="0030610C"/>
    <w:rsid w:val="0039597D"/>
    <w:rsid w:val="003E4070"/>
    <w:rsid w:val="00426A18"/>
    <w:rsid w:val="00433BCD"/>
    <w:rsid w:val="00463929"/>
    <w:rsid w:val="004842BC"/>
    <w:rsid w:val="004917BE"/>
    <w:rsid w:val="004E18B4"/>
    <w:rsid w:val="004F4835"/>
    <w:rsid w:val="004F5697"/>
    <w:rsid w:val="005035CD"/>
    <w:rsid w:val="005071BD"/>
    <w:rsid w:val="005A7ABD"/>
    <w:rsid w:val="006B50E0"/>
    <w:rsid w:val="006F046D"/>
    <w:rsid w:val="00746BBE"/>
    <w:rsid w:val="007540B9"/>
    <w:rsid w:val="00760860"/>
    <w:rsid w:val="0077128D"/>
    <w:rsid w:val="00813F68"/>
    <w:rsid w:val="00864B13"/>
    <w:rsid w:val="00885EF9"/>
    <w:rsid w:val="00896C37"/>
    <w:rsid w:val="008C15A3"/>
    <w:rsid w:val="008C4168"/>
    <w:rsid w:val="008D0F28"/>
    <w:rsid w:val="00930D03"/>
    <w:rsid w:val="00975629"/>
    <w:rsid w:val="009A7B02"/>
    <w:rsid w:val="009C784A"/>
    <w:rsid w:val="009D1062"/>
    <w:rsid w:val="009E091D"/>
    <w:rsid w:val="00A0090E"/>
    <w:rsid w:val="00A116AD"/>
    <w:rsid w:val="00A1670F"/>
    <w:rsid w:val="00A43542"/>
    <w:rsid w:val="00A94B44"/>
    <w:rsid w:val="00AD6E31"/>
    <w:rsid w:val="00BD07AF"/>
    <w:rsid w:val="00BF36EE"/>
    <w:rsid w:val="00C062C0"/>
    <w:rsid w:val="00C41CA9"/>
    <w:rsid w:val="00C52FCB"/>
    <w:rsid w:val="00C96498"/>
    <w:rsid w:val="00D04048"/>
    <w:rsid w:val="00D307F3"/>
    <w:rsid w:val="00D4029C"/>
    <w:rsid w:val="00D64EA4"/>
    <w:rsid w:val="00D97546"/>
    <w:rsid w:val="00DA44EE"/>
    <w:rsid w:val="00DC28D9"/>
    <w:rsid w:val="00E076F7"/>
    <w:rsid w:val="00E80637"/>
    <w:rsid w:val="00EA11BE"/>
    <w:rsid w:val="00EB58C0"/>
    <w:rsid w:val="00EE0D4F"/>
    <w:rsid w:val="00F038A0"/>
    <w:rsid w:val="00F205A7"/>
    <w:rsid w:val="00F53E3F"/>
    <w:rsid w:val="00F57841"/>
    <w:rsid w:val="00FA4EDC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655"/>
  <w15:docId w15:val="{B1FD3BBF-E816-4B79-A039-2C7625B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30D03"/>
    <w:rPr>
      <w:vertAlign w:val="superscript"/>
    </w:rPr>
  </w:style>
  <w:style w:type="table" w:styleId="a4">
    <w:name w:val="Table Grid"/>
    <w:basedOn w:val="a1"/>
    <w:uiPriority w:val="59"/>
    <w:rsid w:val="0093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30D03"/>
    <w:pPr>
      <w:tabs>
        <w:tab w:val="center" w:pos="4677"/>
        <w:tab w:val="right" w:pos="9355"/>
      </w:tabs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30D03"/>
    <w:rPr>
      <w:rFonts w:ascii="Times New Roman" w:hAnsi="Times New Roman"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B58C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0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05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2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ofil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6A33-5451-471F-99F1-C21CCF6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Гончарик</cp:lastModifiedBy>
  <cp:revision>2</cp:revision>
  <cp:lastPrinted>2020-09-01T06:33:00Z</cp:lastPrinted>
  <dcterms:created xsi:type="dcterms:W3CDTF">2024-09-04T07:59:00Z</dcterms:created>
  <dcterms:modified xsi:type="dcterms:W3CDTF">2024-09-04T07:59:00Z</dcterms:modified>
</cp:coreProperties>
</file>