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3542"/>
      </w:tblGrid>
      <w:tr w:rsidR="001A384F" w:rsidRPr="00002239" w:rsidTr="00E50BA8">
        <w:trPr>
          <w:trHeight w:val="238"/>
        </w:trPr>
        <w:tc>
          <w:tcPr>
            <w:tcW w:w="3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84F" w:rsidRPr="006B00B9" w:rsidRDefault="001A384F" w:rsidP="00E50BA8">
            <w:pPr>
              <w:pStyle w:val="cap1"/>
              <w:rPr>
                <w:sz w:val="30"/>
                <w:szCs w:val="30"/>
                <w:lang w:val="be-BY"/>
              </w:rPr>
            </w:pPr>
          </w:p>
        </w:tc>
        <w:tc>
          <w:tcPr>
            <w:tcW w:w="18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A384F" w:rsidRDefault="001A384F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>ЗАЦВЕРДЖАНА</w:t>
            </w:r>
          </w:p>
          <w:p w:rsidR="001A384F" w:rsidRPr="006B00B9" w:rsidRDefault="001A384F" w:rsidP="00E50BA8">
            <w:pPr>
              <w:pStyle w:val="capu1"/>
              <w:spacing w:after="0"/>
              <w:rPr>
                <w:sz w:val="30"/>
                <w:szCs w:val="30"/>
                <w:lang w:val="be-BY"/>
              </w:rPr>
            </w:pPr>
          </w:p>
          <w:p w:rsidR="001A384F" w:rsidRPr="006B00B9" w:rsidRDefault="001A384F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 xml:space="preserve">Пастанова </w:t>
            </w:r>
          </w:p>
          <w:p w:rsidR="001A384F" w:rsidRPr="006B00B9" w:rsidRDefault="001A384F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 w:rsidRPr="006B00B9">
              <w:rPr>
                <w:sz w:val="30"/>
                <w:szCs w:val="30"/>
                <w:lang w:val="be-BY"/>
              </w:rPr>
              <w:t xml:space="preserve">Міністэрства адукацыі Рэспублікі Беларусь </w:t>
            </w:r>
          </w:p>
          <w:p w:rsidR="001A384F" w:rsidRPr="006B00B9" w:rsidRDefault="001A384F" w:rsidP="00E50BA8">
            <w:pPr>
              <w:pStyle w:val="cap1"/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07.07.</w:t>
            </w:r>
            <w:r w:rsidRPr="006B00B9">
              <w:rPr>
                <w:sz w:val="30"/>
                <w:szCs w:val="30"/>
                <w:lang w:val="be-BY"/>
              </w:rPr>
              <w:t>2023 №</w:t>
            </w:r>
            <w:r>
              <w:rPr>
                <w:sz w:val="30"/>
                <w:szCs w:val="30"/>
                <w:lang w:val="be-BY"/>
              </w:rPr>
              <w:t xml:space="preserve"> 190</w:t>
            </w:r>
          </w:p>
        </w:tc>
      </w:tr>
    </w:tbl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Вучэбная праграма па вучэбным прадмеце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«Матэматыка» </w:t>
      </w:r>
    </w:p>
    <w:p w:rsidR="001A384F" w:rsidRPr="006B00B9" w:rsidRDefault="00B445D7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для VI</w:t>
      </w:r>
      <w:r>
        <w:rPr>
          <w:b w:val="0"/>
          <w:sz w:val="30"/>
          <w:szCs w:val="30"/>
          <w:lang w:val="en-US"/>
        </w:rPr>
        <w:t>II</w:t>
      </w:r>
      <w:r w:rsidR="001A384F" w:rsidRPr="006B00B9">
        <w:rPr>
          <w:b w:val="0"/>
          <w:sz w:val="30"/>
          <w:szCs w:val="30"/>
          <w:lang w:val="be-BY"/>
        </w:rPr>
        <w:t xml:space="preserve"> класа </w:t>
      </w:r>
      <w:r>
        <w:rPr>
          <w:b w:val="0"/>
          <w:sz w:val="30"/>
          <w:szCs w:val="30"/>
          <w:lang w:val="be-BY"/>
        </w:rPr>
        <w:t>ў</w:t>
      </w:r>
      <w:r w:rsidR="001A384F" w:rsidRPr="006B00B9">
        <w:rPr>
          <w:b w:val="0"/>
          <w:sz w:val="30"/>
          <w:szCs w:val="30"/>
          <w:lang w:val="be-BY"/>
        </w:rPr>
        <w:t xml:space="preserve">станоў адукацыі, якія рэалізуюць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 xml:space="preserve">адукацыйныя праграмы агульнай сярэдняй адукацыі </w:t>
      </w:r>
    </w:p>
    <w:p w:rsidR="001A384F" w:rsidRPr="006B00B9" w:rsidRDefault="001A384F" w:rsidP="001A384F">
      <w:pPr>
        <w:pStyle w:val="titleu"/>
        <w:spacing w:before="0" w:after="0"/>
        <w:jc w:val="center"/>
        <w:rPr>
          <w:b w:val="0"/>
          <w:sz w:val="30"/>
          <w:szCs w:val="30"/>
          <w:lang w:val="be-BY"/>
        </w:rPr>
      </w:pPr>
      <w:r w:rsidRPr="006B00B9">
        <w:rPr>
          <w:b w:val="0"/>
          <w:sz w:val="30"/>
          <w:szCs w:val="30"/>
          <w:lang w:val="be-BY"/>
        </w:rPr>
        <w:t>з беларускай мовай навучання і выхавання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bCs/>
          <w:sz w:val="30"/>
          <w:szCs w:val="30"/>
          <w:lang w:val="be-BY"/>
        </w:rPr>
        <w:br w:type="page"/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ГЛАВА 1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АГУЛЬНЫЯ ПАЛАЖЭННІ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1. </w:t>
      </w:r>
      <w:r>
        <w:rPr>
          <w:rFonts w:ascii="Times New Roman" w:hAnsi="Times New Roman"/>
          <w:sz w:val="30"/>
          <w:szCs w:val="30"/>
          <w:lang w:val="be-BY"/>
        </w:rPr>
        <w:t>Дадзеная в</w:t>
      </w:r>
      <w:r w:rsidRPr="006B00B9">
        <w:rPr>
          <w:rFonts w:ascii="Times New Roman" w:hAnsi="Times New Roman"/>
          <w:sz w:val="30"/>
          <w:szCs w:val="30"/>
          <w:lang w:val="be-BY"/>
        </w:rPr>
        <w:t>учэбная праграма па вучэбным прадмеце «Матэматыка» (далей – вучэбная праграма) прызначана для вывучэння зместу вучэбнага прадмета «Матэматыка» ў V–IX класах устаноў адукацыі, якія рэалізуюць адукацыйныя праграмы агульнай сярэдняй адукацыі.</w:t>
      </w:r>
    </w:p>
    <w:p w:rsidR="001A384F" w:rsidRPr="006B00B9" w:rsidRDefault="001A384F" w:rsidP="001A384F">
      <w:pPr>
        <w:pStyle w:val="newncpi0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2. </w:t>
      </w:r>
      <w:r>
        <w:rPr>
          <w:sz w:val="30"/>
          <w:szCs w:val="30"/>
          <w:lang w:val="be-BY"/>
        </w:rPr>
        <w:t>Дадзеная в</w:t>
      </w:r>
      <w:r w:rsidRPr="006B00B9">
        <w:rPr>
          <w:sz w:val="30"/>
          <w:szCs w:val="30"/>
          <w:lang w:val="be-BY"/>
        </w:rPr>
        <w:t>учэбная праграма разлічана на 175 гадзін у V–VIII класах (5 вучэбных гадзін на тыдзень) і на 152 гадзіны ў IX класе (4 вучэбныя гадзіны на тыдзень у першым паўгоддзі, 5 вучэбных гадзін на тыдзень у другім паўгоддзі навучальнага года). Пры гэтым для кожнага з V па IX клас прадугледжана па 5 рэзервовых гадзін.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 вывучэнні вучэбнага прадмета «Матэматыка» ў VII–IX класах вылучаюцца два змястоўныя кампаненты: алгебраічны і геаметрычны. У VII–VIII класах пры вывучэнні зместу алгебраічнага і геаметрычнага кампанентаў вучэбныя гадзіны размяркоўваюцца: 3 гадзіны – алгебра і 2 гадзіны – геаметрыя на тыдзень. У IX класе пры вывучэнні зместу алгебраічнага і геаметрычнага кампанентаў вучэбныя гадзіны размяркоўваюцца: I чвэрць – 4 вучэбныя гадзіны на тыдзень: 2 гадзіны – алгебра і 2 гадзіны – геаметрыя; II чвэрць – 4 вучэбныя гадзіны на тыдзень: 3 гадзіны – алгебра і 1 гадзіна – геаметрыя; III і IV чвэрці – 5 вучэбных гадзін на тыдзень: 3 гадзіны – алгебра і 2 гадзіны – геаметрыя.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Колькасць вучэбных гадзін, адведзеная на вывучэнне зместу адпаведных тэм у V–IX класах, з’яўляецца прыкладнай і ўключае рэзерв вучэбных гадзін, вучэбныя гадзіны для арганізацыі паўтарэння, падагульнення і сістэматызацыі вучэбнага матэрыялу. Настаўнік мае права пры неабходнасці пераразмеркаваць колькасць гадзін, адведзеную на вывучэнне зместу вучэбнага прадмета на тыдзень, паміж алгебраічным і геаметрычным кампанентамі з улікам педагагічна мэтазгодных метадаў навучання і выхавання, форм правядзення вучэбных заняткаў, відаў дзейнасці і пазнавальных магчымасцей вучняў.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3. Мэты:</w:t>
      </w:r>
    </w:p>
    <w:p w:rsidR="001A384F" w:rsidRPr="006B00B9" w:rsidRDefault="001A384F" w:rsidP="001A384F">
      <w:pPr>
        <w:pStyle w:val="point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фарміраванне ў вучняў навуковага светапогляду, пазнавальнай цікавасці, прадметных і метапрадметных кампетэнцый, лагічнага мыслення, інтуіцыі, прасторавага ўяўлення, неабходных для станаўлення асобы, здольнай да самапазнання і самаразвіцця;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фарміраванне ў вучняў матэматычнай адукаванасці і авалоданне імі пры вывучэнні вучэбнага прадмета «Матэматыка» разнастайнымі спосабамі дзейнасці, якія прымяняюцца як у межах адукацыйнага працэсу, так і ў рэальных жыццёвых сітуацыях;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авалоданне вучнямі кампанентамі прадметнай кампетэнцыі, неабходнымі для працягу атрымання адукацыі на III ступені агульнай </w:t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сярэдняй адукацыі або на ўзроўнях прафесійна-тэхнічнай, сярэдняй спецыяльнай адукацыі;</w:t>
      </w:r>
    </w:p>
    <w:p w:rsidR="001A384F" w:rsidRPr="006B00B9" w:rsidRDefault="001A384F" w:rsidP="001A384F">
      <w:pPr>
        <w:pStyle w:val="point"/>
        <w:ind w:firstLine="709"/>
        <w:rPr>
          <w:rFonts w:eastAsia="Times New Roman"/>
          <w:sz w:val="30"/>
          <w:szCs w:val="30"/>
          <w:u w:val="single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фарміраванне маральных якасцей вучняў, іх каштоўнаснага стаўлення да ісціны, аб’ектыўнага самааналізу і самаацэнкі, здольнасці аргументавана адстойваць свае перакананні.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4. Задачы: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фарміраванне ў вучняў уяўленняў пра матэматыку як частку агульначалавечай культуры, пра значнасць матэматыкі ў развіцці цывілізацыі і сучаснага грамадства;</w:t>
      </w:r>
    </w:p>
    <w:p w:rsidR="001A384F" w:rsidRPr="006B00B9" w:rsidRDefault="001A384F" w:rsidP="001A384F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 вучняў культуры вуснага і пісьмовага маўлення, лагічнага і крытычнага мыслення, здольнасці аргументавана адстойваць свае перакананні;</w:t>
      </w:r>
    </w:p>
    <w:p w:rsidR="001A384F" w:rsidRPr="006B00B9" w:rsidRDefault="001A384F" w:rsidP="001A384F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 вучняў уменняў працаваць з рознымі крыніцамі інфармацыі, апісваць рэальныя аб’екты і з’явы з дапамогай матэматычных мадэлей;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фарміраванне ў вучняў умення самастойна набываць новыя веды, кантраляваць вынікі вучэбнай дзейнасці;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выхаванне якасцей асобы вучняў, што забяспечваюць сацыяльную мабільнасць, здольнасць прымаць самастойныя рашэнні і несці за іх адказнасць;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развіццё ў</w:t>
      </w:r>
      <w:r w:rsidRPr="006B00B9">
        <w:rPr>
          <w:rFonts w:eastAsia="Times New Roman"/>
          <w:sz w:val="30"/>
          <w:szCs w:val="30"/>
          <w:lang w:val="be-BY" w:eastAsia="en-US"/>
        </w:rPr>
        <w:t xml:space="preserve"> вучняў </w:t>
      </w:r>
      <w:r w:rsidRPr="006B00B9">
        <w:rPr>
          <w:sz w:val="30"/>
          <w:szCs w:val="30"/>
          <w:lang w:val="be-BY"/>
        </w:rPr>
        <w:t>матэматычных здольнасцей, цікавасці да творчай дзейнасці.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5. На вучэбных занятках рэкамендуецца выкарыстоўваць разнастайныя метады навучання і выхавання, накіраваныя на актывізацыю самастойнай пазнавальнай дзейнасці вучняў (гульнявыя метады, метад праблемнага навучання, метад праектаў, іншыя метады навучання і выхавання).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Мэтазгодна спалучаць франтальныя, групавыя, парныя і індывідуальныя формы навучання, выкарыстоўваць такія віды вучэбных заняткаў, як урок-даследаванне, урок-практыкум, урок абароны праектаў, інтэграваны ўрок, іншыя віды вучэбных заняткаў.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Выбар форм і метадаў навучання і выхавання ажыццяўляецца настаўнікам самастойна на аснове мэт і задач вывучэння канкрэтнай тэмы, вызначаных у вучэбнай праграме асноўных патрабаванняў да вынікаў вучэбнай дзейнасці вучняў з улікам іх узроставых і індывідуальных асаблівасцей.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Разам з традыцыйнымі сродкамі навучання і сродкамі дыягнаставання вынікаў вучэбнай дзейнасці вучняў мэтазгодна выкарыстоўваць электронныя сродкі, да якіх адносяцца электронныя вучэбныя дапаможнікі, інтэрактыўныя камп’ютарныя мадэлі, электронныя адукацыйныя рэсурсы (электронныя даведнікі, энцыклапедыі, трэнажоры, кантрольна-дыягнастычныя матэрыялы) і іншыя электронныя сродкі. Іх прымяненне </w:t>
      </w:r>
      <w:r w:rsidRPr="006B00B9">
        <w:rPr>
          <w:sz w:val="30"/>
          <w:szCs w:val="30"/>
          <w:lang w:val="be-BY"/>
        </w:rPr>
        <w:lastRenderedPageBreak/>
        <w:t>спрыяе павышэнню ступені нагляднасці, канкрэтызацыі вывучаемых паняццяў, развіццю цікавасці, стварэнню станоўчых эмацыянальных адносін да вучэбнай інфармацыі і фарміраванню матывацыі да паспяховага вывучэння матэматыкі.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 раздзеле «Асноўныя патрабаванні да вынікаў вучэбнай дзейнасці вучняў» указаны вынікі, якіх павінны дасягнуць вучні пры засваенні прад’яўленага зместу.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 вучэбнай дзейнасці вучняў структураваны па кампанентах: правільна ўжываць тэрміны і выкарыстоўваць паняцці; ведаць; умець.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«правільна ўжываць тэрміны і выкарыстоўваць паняцці» азначае, што вучань суадносіць паняцце з тэрмінам, які яго абазначае, распазнае канкрэтныя прыклады паняцця па характэрных прыметах, выконвае дзеянні ў адпаведнасці з азначэннямі і ўласцівасцямі паняццяў, канкрэтызуе іх прыкладамі.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«ведаць» азначае, што вучань ведае азначэнні, правілы, тэарэмы, алгарытмы, прыёмы, метады, спосабы дзейнасці і аперыруе імі.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Патрабаванне «ўмець» фіксуе сфарміраванасць навыкаў прымянення ведаў, спосабаў дзейнасці па іх засваенні і прымяненні, арыентаваных на кампетэнтнасны складнік вынікаў вучэбнай дзейнасці.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 працэсе вывучэння зместу вучэбнага прадмета «Матэматыка» асаблівае месца адводзіцца рашэнню задач, арганізацыі праектнай дзейнасці.</w:t>
      </w:r>
    </w:p>
    <w:p w:rsidR="001A384F" w:rsidRPr="006B00B9" w:rsidRDefault="001A384F" w:rsidP="001A384F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6. Чаканыя вынікі вывучэння зместу вучэбнага прадмета «Матэматыка»: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6.1. асобасныя: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валодае матэматычнымі ведамі, уменнямі, навыкамі, спосабамі дзейнасці, неабходнымі пры вывучэнні іншых вучэбных прадметаў;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разумее значнасць адукацыі для асобаснага развіцця і самавызначэння;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дэманструе ўстойлівую цікавасць да самастойнай дзейнасці, самаразвіцця, самапазнання;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праяўляе гатоўнасць да выбару далейшай адукацыйнай траекторыі ў адпаведнасці са сваімі магчымасцямі, здольнасцямі і інтарэсамі;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6.2. метапрадметныя: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мае сфарміраваныя агульнавучэбныя ўменні і навыкі, якія забяспечваюць здольнасць працаваць з інфармацыяй, вылучаць у ёй галоўнае; крытычна ацэньваць інфармацыю, атрыманую з розных крыніц, правільна інтэрпрэтаваць і выкарыстоўваць яе;</w:t>
      </w:r>
    </w:p>
    <w:p w:rsidR="001A384F" w:rsidRPr="006B00B9" w:rsidRDefault="001A384F" w:rsidP="001A384F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умее: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аналізаваць, аперыраваць паняццямі, рабіць абагульненні, устанаўліваць аналогіі і прычынна-выніковыя сувязі, класіфікаваць, будаваць лагічную выснову і рабіць вывады;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мадэляваць рэальныя аб’екты, з’явы і працэсы з дапамогай матэматычных мадэлей;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інтэграваць веды з розных прадметных галін для эфектыўнага вырашэння рознага роду жыццёвых задач, на аснове якіх фарміруюцца і развіваюцца кампетэнцыі вучня;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выкарыстоўваць розныя крыніцы інфармацыі ў вучэбна-пазнавальных мэтах, вылучаць галоўнае, істотныя прыметы паняццяў, працаваць з тэкставай і графічнай інфармацыяй (аналізаваць, здабываць неабходную інфармацыю);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дакладна і правільна выказваць свае думкі ў вусным і пісьмовым маўленні з прымяненнем матэматычнай тэрміналогіі і сімволікі, правільна класіфікаваць матэматычныя аб’екты, праводзіць лагічныя абгрунтаванні і доказы матэматычных сцвярджэнняў;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6.3. прадметныя: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мае ўяўленне: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 матэматыку як частку сусветнай культуры і пра месца матэматыкі ў сучаснай цывілізацыі, спосабы апісання на матэматычнай мове з’яў навакольнага свету;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вывучаемыя матэматычныя паняцці (выраз (лікавы выраз, выраз са зменнымі); ураўненне, няроўнасць; сістэмы ўраўненняў і няроўнасцей; геаметрычная фігура; функцыя) як пра найважнейшыя матэматычныя мадэлі, якія дазваляюць апісваць і вывучаць розныя працэсы і з’явы;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функцыі, у тым ліку арыфметычную і геаметрычную прагрэсіі і іх уласцівасці, мноствы і аперацыі над імі;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валодае: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прыёмамі выканання тоесных пераўтварэнняў лікавых выразаў і выразаў са зменнымі; рашэння лінейных, квадратных і дробава-рацыянальных ураўненняў; сістэм і сукупнасцей лінейных і нелінейных ураўненняў; лінейных, квадратных і дробава-рацыянальных няроўнасцей, сістэм няроўнасцей; пабудовы графікаў функцый;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прыёмамі рашэння геаметрычных задач на доказ і вылічэнне з выкарыстаннем уласцівасцей фігур;</w:t>
      </w:r>
    </w:p>
    <w:p w:rsidR="001A384F" w:rsidRPr="006B00B9" w:rsidRDefault="001A384F" w:rsidP="001A384F">
      <w:pPr>
        <w:pStyle w:val="newncpi"/>
        <w:ind w:firstLine="709"/>
        <w:rPr>
          <w:rFonts w:eastAsia="Times New Roman"/>
          <w:sz w:val="30"/>
          <w:szCs w:val="30"/>
          <w:lang w:val="be-BY" w:eastAsia="en-US"/>
        </w:rPr>
      </w:pPr>
      <w:r w:rsidRPr="006B00B9">
        <w:rPr>
          <w:rFonts w:eastAsia="Times New Roman"/>
          <w:sz w:val="30"/>
          <w:szCs w:val="30"/>
          <w:lang w:val="be-BY" w:eastAsia="en-US"/>
        </w:rPr>
        <w:t>навыкамі мадэлявання пры рашэнні тэкставых, практыка-арыентаваных задач, задач з міжпрадметным зместам;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умее: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дакладна і правільна выказваць свае думкі ў вусным і пісьмовым маўленні з прымяненнем матэматычнай тэрміналогіі і сімволікі, правільна </w:t>
      </w:r>
      <w:r w:rsidRPr="006B00B9">
        <w:rPr>
          <w:rFonts w:ascii="Times New Roman" w:hAnsi="Times New Roman"/>
          <w:sz w:val="30"/>
          <w:szCs w:val="30"/>
          <w:lang w:val="be-BY"/>
        </w:rPr>
        <w:lastRenderedPageBreak/>
        <w:t>прымяняць паняцці, класіфікаваць матэматычныя аб’екты, праводзіць лагічныя абгрунтаванні і доказы матэматычных сцвярджэнняў;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працаваць з матэматычным тэкстам, здабываючы і інтэрпрэтуючы інфармацыю, прадстаўленую ў рознай форме (табліц, дыяграм, графікаў, схем, іншых формах);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распазнаваць на чарцяжах, мадэлях і ў рэальным свеце геаметрычныя фігуры;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выкарыстоўваць геаметрычныя велічыні пры рашэнні задач;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прымяняць асноўныя ўласцівасці і прыметы геаметрычных фігур пры рашэнні задач на доказ і вылічэнне.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7. Кантроль і ацэнка вынікаў вучэбнай дзейнасці вучняў з’яўляюцца абавязковымі кампанентамі адукацыйнага працэсу пры вывучэнні зместу вучэбнага прадмета «Матэматыка».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Прызначэнне кантролю ва ўсёй разнастайнасці яго форм, відаў і метадаў правядзення – праверка адпаведнасці вынікаў вучэбнай дзейнасці кожнага вучня асноўным патрабаванням да вынікаў вучэбнай дзейнасці вучняў, устаноўленым у главах 2–6 вучэбнай праграмы, і на гэтай аснове ажыццяўляецца карэкціроўка вучэбна-пазнавальнай дзейнасці вучняў.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Кантрольныя работы: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V–VI класы – 6 работ;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VII–IX класы – 8 работ.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Колькасць тэматычных самастойных работ вызначае настаўнік. Рэкамендавана правядзенне тэматычных самастойных работ, якія змяшчаюць алгебраічны і геаметрычны матэрыял.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8. Змест вучэбнага прадмета «Матэматыка» грунтуецца на раздзелах матэматыкі: арыфметыка; алгебра; мноства; функцыі; геаметрыя. У сваю чаргу раздзелы матэматыкі выбудоўваюцца з улікам логікі і мэтазгоднасці ў змястоўныя лініі, якія пранізваюць адпаведныя тэмы, якімі прадстаўлены змест вучэбнага прадмета. Пры гэтым улічаны міжпрадметныя сувязі з вучэбнымі прадметамі «Геаграфія», «Фізіка», «Хімія», «Біялогія» і іншымі вучэбнымі прадметамі.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Змест вучэбнага прадмета «Матэматыка», вучэбная дзейнасць вучняў, асноўныя патрабаванні да яе вынікаў канцэнтруюцца па наступных змястоўных лініях: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лікі і вылічэнні;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выразы і іх пераўтварэнні;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ураўненні і няроўнасці;</w:t>
      </w:r>
    </w:p>
    <w:p w:rsidR="001A384F" w:rsidRPr="006B00B9" w:rsidRDefault="001A384F" w:rsidP="001A384F">
      <w:pPr>
        <w:pStyle w:val="newncpi"/>
        <w:ind w:firstLine="709"/>
        <w:rPr>
          <w:strike/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каардынаты і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геаметрычныя фігуры і іх уласцівасці;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геаметрычныя велічыні;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матэматычнае мадэляванне рэальных аб’ектаў.</w:t>
      </w:r>
    </w:p>
    <w:p w:rsidR="001A384F" w:rsidRPr="006B00B9" w:rsidRDefault="001A384F" w:rsidP="001A384F">
      <w:pPr>
        <w:pStyle w:val="point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Прадстаўленыя ў вучэбнай праграме вучэбны матэрыял змястоўнага кампанента, асноўныя патрабаванні да вынікаў вучэбнай дзейнасці вучнў структурыруюцца па тэмах асобна для алгебраічнага і геаметрычнага кампанентаў з улікам паралельнасці вывучэння вучэбнага матэрыялу.</w:t>
      </w:r>
    </w:p>
    <w:p w:rsidR="001A384F" w:rsidRPr="006B00B9" w:rsidRDefault="001A384F" w:rsidP="001A384F">
      <w:pPr>
        <w:spacing w:after="0" w:line="240" w:lineRule="auto"/>
        <w:rPr>
          <w:rFonts w:ascii="Times New Roman" w:hAnsi="Times New Roman"/>
          <w:sz w:val="30"/>
          <w:szCs w:val="30"/>
          <w:lang w:val="be-BY"/>
        </w:rPr>
      </w:pP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 xml:space="preserve">ГЛАВА </w:t>
      </w:r>
      <w:r w:rsidR="00B445D7">
        <w:rPr>
          <w:rFonts w:ascii="Times New Roman" w:hAnsi="Times New Roman"/>
          <w:sz w:val="30"/>
          <w:szCs w:val="30"/>
          <w:lang w:val="be-BY"/>
        </w:rPr>
        <w:t>2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ЗМЕСТ ВУЧЭБНАГА ПРАДМЕТА Ў VIII КЛАСЕ.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АСНОЎНЫЯ ПАТРАБАВАННІ ДА ВЫНІКАЎ</w:t>
      </w:r>
      <w:r w:rsidRPr="006B00B9">
        <w:rPr>
          <w:rFonts w:ascii="Times New Roman" w:hAnsi="Times New Roman"/>
          <w:sz w:val="30"/>
          <w:szCs w:val="30"/>
          <w:lang w:val="be-BY"/>
        </w:rPr>
        <w:br/>
        <w:t>ВУЧЭБНАЙ ДЗЕЙНАСЦІ ВУЧНЯЎ</w:t>
      </w:r>
    </w:p>
    <w:p w:rsidR="001A384F" w:rsidRPr="006B00B9" w:rsidRDefault="001A384F" w:rsidP="001A384F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(5 гадзін на тыдзень, усяго 175 гадзін, у тым ліку 5 рэзервовых гадзін)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Алгебраічны кампанент – 105 гадзін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Геаметрычны кампанент – 70 гадзін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bCs/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>Тэма 1. Квадратныя карані і іх уласцівасці.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Рэчаісныя лікі </w:t>
      </w:r>
      <w:r w:rsidRPr="006B00B9">
        <w:rPr>
          <w:sz w:val="30"/>
          <w:szCs w:val="30"/>
          <w:lang w:val="be-BY"/>
        </w:rPr>
        <w:t>(27 гадзін)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Квадратны корань з ліку. Арыфметычны квадратны корань.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Мноства ірацыянальных лікаў. Мноства рэчаісных лікаў. Адлюстраванне рэчаісных лікаў на каардынатнай прамой. Параўнанне рэчаісных лікаў.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Уласцівасці квадратных каранёў. Прымяненне ўласцівасцей квадратных каранёў: вынясенне множніка за знак кораня; унясенне множніка пад знак кораня; пазбаўленне ад ірацыянальнасці ў назоўніку дробу; вылічэнне значэнняў выразаў і спрашчэнне выразаў, якія змяшчаюць карані.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Лікавыя прамежкі. Аб’яднанне і перасячэнне лікавых прамежкаў.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Сістэмы і сукупнасці лінейных няроўнасцей з адной зменнай. Рашэнне двайных няроўнасцей.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 і іх рашэнне.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квадратны корань з ліку;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арыфметычны квадратны корань;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ірацыянальны лік;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рэчаісны лік;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лікавыя прамежкі, перасячэнне лікавых прамежкаў, аб’яднанне лікавых прамежкаў;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сістэмы няроўнасцей, сукупнасці няроўнасцей;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lastRenderedPageBreak/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азначэнні квадратнага кораня; арыфметычнага квадратнага кораня;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уласцівасці квадратных каранёў;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вылічваць значэнні выразаў і выконваць пераўтварэнні выразаў, якія змяшчаюць аперацыю здабывання квадратнага кораня з ліку;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уласцівасці квадратных каранёў для вылічэння значэнняў выразаў і выканання пераўтварэнняў;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чытаць і запісваць лікавыя прамежкі;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лікавыя прамежкі, іх перасячэнне і аб’яднанне для запісу лікавых мностваў і рашэнняў няроўнасцей;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сістэмы і сукупнасці лінейных няроўнасцей з адной зменнай; двайныя няроўнасці; практыка-арыентаваныя задачы,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2. Квадратныя ўраўненні </w:t>
      </w:r>
      <w:r w:rsidRPr="006B00B9">
        <w:rPr>
          <w:sz w:val="30"/>
          <w:szCs w:val="30"/>
          <w:lang w:val="be-BY"/>
        </w:rPr>
        <w:t>(29 гадзін)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Квадратныя ўраўненні (няпоўныя, прыведзеныя). Рашэнне няпоўных квадратных ураўненняў. Дыскрымінант квадратнага ўраўнення (колькасць каранёў квадратнага ўраўнення). Формулы каранёў квадратнага ўраўнення.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Тэарэма Віета і тэарэма, адваротная тэарэме Віета. Прымяненне тэарэмы Віета. Квадратны трохчлен. Раскладанне квадратнага трохчлена на множнікі.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Рашэнне тэкставых задач з дапамогай квадратных ураўненняў. Рашэнне цэлых рацыянальных ураўненняў, якія зводзяцца да квадратных ураўненняў.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Квадратныя ўраўненні як мадэлі апісання рэальных працэсаў і з’яў.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 і іх рашэнне.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Ураўненні, якія змяшчаюць выразы пад знакам модуля</w:t>
      </w:r>
      <w:r>
        <w:rPr>
          <w:iCs/>
          <w:sz w:val="30"/>
          <w:szCs w:val="30"/>
          <w:lang w:val="be-BY"/>
        </w:rPr>
        <w:t>**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квадратнае ўраўненне, дыскрымінант квадратнага ўраўнення;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біквадратнае ўраўненне, цэлае рацыянальнае ўраўненне;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квадратны трохчлен;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азначэнне квадратнага ўраўнення;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віды квадратных ураўненняў;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формулы дыскрымінанта і каранёў квадратнага ўраўнення;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тэарэму Віета і тэарэму, адваротную тэарэме Віета;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алгарытм раскладання квадратнага трохчлена на лінейныя множнікі;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квадратныя ўраўненні і ўраўненні, якія зводзяцца да іх;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выводзіць формулы каранёў квадратнага ўраўнення;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тэарэму Віета і тэарэму, адваротную тэарэме Віета пры рашэнні задач;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раскладаць квадратны трохчлен на множнікі;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выкарыстоўваць квадратныя ўраўненні як матэматычныя мадэлі пры рашэнні задач;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цэлыя рацыянальныя ўраўненні, якія зводзяцца да квадратных ураўненняў;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тэкставыя, практыка-арыентаваныя задачы і задачы з міжпрадметным зместам з дапамогай квадратных ураўненняў,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bCs/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3. Квадратычная функцыя і яе ўласцівасці </w:t>
      </w:r>
      <w:r w:rsidRPr="006B00B9">
        <w:rPr>
          <w:sz w:val="30"/>
          <w:szCs w:val="30"/>
          <w:lang w:val="be-BY"/>
        </w:rPr>
        <w:t>(33 гадзіны)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Квадратычная функцыя і яе ўласцівасці: абсяг вызначэння, мноства значэнняў, нулі, манатоннасць, прамежкі знакапастаянства. Графік квадратычнай функцыі. Алгарытм пабудовы графіка квадратычнай функцыі. Рэальныя працэсы, якія апісваюцца квадратычнай функцыяй.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Квадратныя няроўнасці. Прымяненне ўласцівасцей квадратычнай функцыі да рашэння квадратных няроўнасцей. Сістэмы і сукупнасці квадратных няроўнасцей. Рашэнне сістэм і сукупнасцей квадратных няроўнасцей.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Рашэнне практыка-арыентаваных задач, задач з міжпрадметным зместам з дапамогай графічных мадэлей</w:t>
      </w:r>
      <w:r>
        <w:rPr>
          <w:sz w:val="30"/>
          <w:szCs w:val="30"/>
          <w:lang w:val="be-BY"/>
        </w:rPr>
        <w:t>**</w:t>
      </w:r>
      <w:r w:rsidRPr="006B00B9">
        <w:rPr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квадратычная функцыя;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парабала, вяршыня парабалы, галіны парабалы;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прамежкі нарастання (спадання);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прамежкі знакапастаянства;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квадратныя няроўнасці;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азначэнні квадратычнай функцыі; квадратнай няроўнасці;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графік і ўласцівасці квадратычнай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алгарытм пабудовы графіка квадратычнай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lastRenderedPageBreak/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будаваць графік квадратычнай функцыі; прымяняць уласцівасці квадратычнай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вызначаць прамежкі знакапастаянства, манатоннасці квадратычнай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квадратныя няроўнасці і зведзеныя да іх;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сістэмы няроўнасцей і сукупнасці няроўнасцей, якія змяшчаюць квадратныя няроўнасці;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розныя формы запісу квадратычнай функцыі для пабудовы графіка, знаходжання нулёў функцыі, прамежкаў знакапастаянства, каардынат вяршыні парабалы;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апісваць рэальныя працэсы з дапамогай квадратычнай функцыі;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>Тэма 4. Функцыі</w:t>
      </w:r>
      <w:r w:rsidRPr="006B00B9">
        <w:rPr>
          <w:sz w:val="30"/>
          <w:szCs w:val="30"/>
          <w:lang w:val="be-BY"/>
        </w:rPr>
        <w:t xml:space="preserve"> </w:t>
      </w:r>
      <w:r w:rsidRPr="00882057">
        <w:rPr>
          <w:noProof/>
          <w:sz w:val="30"/>
          <w:szCs w:val="30"/>
        </w:rPr>
        <w:drawing>
          <wp:inline distT="0" distB="0" distL="0" distR="0" wp14:anchorId="712C3410" wp14:editId="47D64931">
            <wp:extent cx="2484120" cy="388620"/>
            <wp:effectExtent l="0" t="0" r="0" b="0"/>
            <wp:docPr id="10" name="Рисунок 9" descr="C:\NCPI_CLIENT\EKBD\Texts\w21833358p.files\0800002F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NCPI_CLIENT\EKBD\Texts\w21833358p.files\0800002F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sz w:val="30"/>
          <w:szCs w:val="30"/>
          <w:lang w:val="be-BY"/>
        </w:rPr>
        <w:br/>
      </w:r>
      <w:r w:rsidRPr="006B00B9">
        <w:rPr>
          <w:bCs/>
          <w:sz w:val="30"/>
          <w:szCs w:val="30"/>
          <w:lang w:val="be-BY"/>
        </w:rPr>
        <w:t xml:space="preserve">і іх уласцівасці </w:t>
      </w:r>
      <w:r w:rsidRPr="006B00B9">
        <w:rPr>
          <w:sz w:val="30"/>
          <w:szCs w:val="30"/>
          <w:lang w:val="be-BY"/>
        </w:rPr>
        <w:t>(13 гадзін)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Уласцівасці і графікі функцый:</w:t>
      </w:r>
      <w:r w:rsidRPr="00882057">
        <w:rPr>
          <w:noProof/>
          <w:sz w:val="30"/>
          <w:szCs w:val="30"/>
        </w:rPr>
        <w:drawing>
          <wp:inline distT="0" distB="0" distL="0" distR="0" wp14:anchorId="02C2AE8D" wp14:editId="01AF1139">
            <wp:extent cx="2324100" cy="388620"/>
            <wp:effectExtent l="0" t="0" r="0" b="0"/>
            <wp:docPr id="11" name="Рисунок 8" descr="C:\NCPI_CLIENT\EKBD\Texts\w21833358p.files\0800003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NCPI_CLIENT\EKBD\Texts\w21833358p.files\08000030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АСНОЎНЫЯ ПАТРАБАВАННІ ДА ВЫНІКАЎ 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гіпербала;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галіны гіпербалы;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кубічная парабала;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 xml:space="preserve">ведаюць </w:t>
      </w:r>
      <w:r w:rsidRPr="006B00B9">
        <w:rPr>
          <w:sz w:val="30"/>
          <w:szCs w:val="30"/>
          <w:lang w:val="be-BY"/>
        </w:rPr>
        <w:t>уласцівасці і графікі функцый:</w:t>
      </w:r>
      <w:r w:rsidRPr="00882057">
        <w:rPr>
          <w:noProof/>
          <w:sz w:val="30"/>
          <w:szCs w:val="30"/>
        </w:rPr>
        <w:drawing>
          <wp:inline distT="0" distB="0" distL="0" distR="0" wp14:anchorId="34345B74" wp14:editId="57A52DE7">
            <wp:extent cx="1866900" cy="388620"/>
            <wp:effectExtent l="0" t="0" r="0" b="0"/>
            <wp:docPr id="12" name="Рисунок 7" descr="C:\NCPI_CLIENT\EKBD\Texts\w21833358p.files\0800003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NCPI_CLIENT\EKBD\Texts\w21833358p.files\08000031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057">
        <w:rPr>
          <w:noProof/>
          <w:sz w:val="30"/>
          <w:szCs w:val="30"/>
        </w:rPr>
        <w:drawing>
          <wp:inline distT="0" distB="0" distL="0" distR="0" wp14:anchorId="76DED506" wp14:editId="5D9F4CC6">
            <wp:extent cx="464820" cy="236220"/>
            <wp:effectExtent l="0" t="0" r="0" b="0"/>
            <wp:docPr id="13" name="Рисунок 6" descr="C:\NCPI_CLIENT\EKBD\Texts\w21833358p.files\0800003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NCPI_CLIENT\EKBD\Texts\w21833358p.files\08000032wm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sz w:val="30"/>
          <w:szCs w:val="30"/>
          <w:lang w:val="be-BY"/>
        </w:rPr>
        <w:t>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будаваць графікі функцый</w:t>
      </w:r>
      <w:r w:rsidRPr="00882057">
        <w:rPr>
          <w:noProof/>
          <w:sz w:val="30"/>
          <w:szCs w:val="30"/>
        </w:rPr>
        <w:drawing>
          <wp:inline distT="0" distB="0" distL="0" distR="0" wp14:anchorId="43514309" wp14:editId="1F859AD2">
            <wp:extent cx="2324100" cy="388620"/>
            <wp:effectExtent l="0" t="0" r="0" b="0"/>
            <wp:docPr id="14" name="Рисунок 5" descr="C:\NCPI_CLIENT\EKBD\Texts\w21833358p.files\0800003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NCPI_CLIENT\EKBD\Texts\w21833358p.files\08000030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sz w:val="30"/>
          <w:szCs w:val="30"/>
          <w:lang w:val="be-BY"/>
        </w:rPr>
        <w:t>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уласцівасці функцый</w:t>
      </w:r>
      <w:r w:rsidRPr="00882057">
        <w:rPr>
          <w:noProof/>
          <w:sz w:val="30"/>
          <w:szCs w:val="30"/>
        </w:rPr>
        <w:drawing>
          <wp:inline distT="0" distB="0" distL="0" distR="0" wp14:anchorId="63912901" wp14:editId="52DEE67A">
            <wp:extent cx="2324100" cy="388620"/>
            <wp:effectExtent l="0" t="0" r="0" b="0"/>
            <wp:docPr id="15" name="Рисунок 4" descr="C:\NCPI_CLIENT\EKBD\Texts\w21833358p.files\0800003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NCPI_CLIENT\EKBD\Texts\w21833358p.files\08000030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sz w:val="30"/>
          <w:szCs w:val="30"/>
          <w:lang w:val="be-BY"/>
        </w:rPr>
        <w:t>для рашэння задач;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 і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5. Чатырохвугольнікі </w:t>
      </w:r>
      <w:r w:rsidRPr="006B00B9">
        <w:rPr>
          <w:sz w:val="30"/>
          <w:szCs w:val="30"/>
          <w:lang w:val="be-BY"/>
        </w:rPr>
        <w:t>(22 гадзіны)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 xml:space="preserve">Многавугольнік. Сума ўнутраных вуглоў выпуклага </w:t>
      </w:r>
      <w:r w:rsidRPr="006B00B9">
        <w:rPr>
          <w:sz w:val="30"/>
          <w:szCs w:val="30"/>
          <w:lang w:val="en-US"/>
        </w:rPr>
        <w:t>n</w:t>
      </w:r>
      <w:r w:rsidRPr="006B00B9">
        <w:rPr>
          <w:sz w:val="30"/>
          <w:szCs w:val="30"/>
          <w:lang w:val="be-BY"/>
        </w:rPr>
        <w:t>-вугольніка.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Паралелаграм. Уласцівасці і прыметы паралелаграма. Прамавугольнік. Ромб. Квадрат.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Тэарэма Фалеса. Сярэдняя лінія трохвугольніка. Уласцівасць медыян трохвугольніка.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Трапецыя. Сярэдняя лінія трапецыі.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Цэнтральная і восевая сіметрыя на плоскасці</w:t>
      </w:r>
      <w:r>
        <w:rPr>
          <w:iCs/>
          <w:sz w:val="30"/>
          <w:szCs w:val="30"/>
          <w:lang w:val="be-BY"/>
        </w:rPr>
        <w:t>**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 і іх рашэнне.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многавугольнік, выпуклы многавугольнік, паралелаграм, вышыня паралелаграма, прамавугольнік, ромб, квадрат, трапецыя;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унутраны і знешні вуглы многавугольніка, дыяганаль многавугольніка;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суседнія стораны і вуглы многавугольніка;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супрацьлеглыя стораны і вуглы чатырохвугольніка;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азначэнні многавугольніка; дыяганалі многавугольніка; выпуклага многавугольніка; паралелаграма, вышыні паралелаграма; прамавугольніка, ромба, квадрата, трапецыі; раўнабедранай і прамавугольнай трапецыі; вышыні паралелаграма, ромба, трапецыі; сярэдняй лініі трохвугольніка; сярэдняй лініі трапецыі;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тэарэмы аб суме ўнутраных вуглоў выпуклага </w:t>
      </w:r>
      <w:r w:rsidRPr="006B00B9">
        <w:rPr>
          <w:sz w:val="30"/>
          <w:szCs w:val="30"/>
          <w:lang w:val="en-US"/>
        </w:rPr>
        <w:t>n</w:t>
      </w:r>
      <w:r w:rsidRPr="006B00B9">
        <w:rPr>
          <w:sz w:val="30"/>
          <w:szCs w:val="30"/>
          <w:lang w:val="be-BY"/>
        </w:rPr>
        <w:t>-вугольніка; уласцівасці дыяганалей паралелаграма, прамавугольніка; Фалеса (прамую і ёй адваротную), уласцівасць сярэдняй лініі трохвугольніка, уласцівасць медыян трохвугольніка, аб сярэдняй лініі трапецыі;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уласцівасці і прыметы паралелаграма, прамавугольніка, ромба, квадрата, раўнабедранай трапецыі; 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 xml:space="preserve">даказваць тэарэмы аб суме ўнутраных вуглоў выпуклага </w:t>
      </w:r>
      <w:r w:rsidRPr="006B00B9">
        <w:rPr>
          <w:sz w:val="30"/>
          <w:szCs w:val="30"/>
          <w:lang w:val="en-US"/>
        </w:rPr>
        <w:t>n</w:t>
      </w:r>
      <w:r w:rsidRPr="006B00B9">
        <w:rPr>
          <w:sz w:val="30"/>
          <w:szCs w:val="30"/>
          <w:lang w:val="be-BY"/>
        </w:rPr>
        <w:t>-вугольніка; уласцівасці дыяганалей паралелаграма, квадрата, раўнабедранай трапецыі; Фалеса; уласцівасці сярэдняй лініі трохвугольніка; аб сярэдняй лініі трапецыі; уласцівасць медыян трохвугольніка; уласцівасць вышынь трохвугольніка;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тэарэмы пры рашэнні геаметрычных задач;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задачы,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lastRenderedPageBreak/>
        <w:t xml:space="preserve">Тэма 6. Плошчы </w:t>
      </w:r>
      <w:r w:rsidRPr="006B00B9">
        <w:rPr>
          <w:sz w:val="30"/>
          <w:szCs w:val="30"/>
          <w:lang w:val="be-BY"/>
        </w:rPr>
        <w:t>многавугольнікаў (16 гадзін)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Плошча многавугольніка. Роўнавялікія геаметрычныя фігуры.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Плошча квадрата, прамавугольніка, паралелаграма, трохвугольніка, прамавугольнага трохвугольніка, трапецыі, ромба.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Тэарэма Піфагора. Тэарэма, адваротная тэарэме Піфагора. Плошча роўнастаронняга трохвугольніка.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Метад плошчаў</w:t>
      </w:r>
      <w:r>
        <w:rPr>
          <w:iCs/>
          <w:sz w:val="30"/>
          <w:szCs w:val="30"/>
          <w:lang w:val="be-BY"/>
        </w:rPr>
        <w:t>**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 і іх рашэнне.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плошча многавугольніка;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роўнавялікія геаметрычныя фігуры;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уласцівасці плошчы многавугольнікаў;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формулы плошчы квадрата, прамавугольніка, паралелаграма, трохвугольніка, прамавугольнага трохвугольніка, роўнастаронняга трохвугольніка, трапецыі, ромба; вышыні прамавугольнага трохвугольніка, праведзенай да гіпатэнузы, вышыні роўнастаронняга трохвугольніка; сярэдняй лініі трохвугольніка;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тэарэмы Піфагора, адваротную тэарэме Піфагора, аб дзяленні трохвугольніка медыянай на два роўнавялікія трохвугольнікі;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выводзіць формулы плошчы прамавугольніка, паралелаграма, трохвугольніка, прамавугольнага трохвугольніка, трапецыі, ромба;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даказваць тэарэму Піфагора;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знаходзіць плошчы многавугольнікаў;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тэарэмы Піфагора, адваротную тэарэме Піфагора да рашэння геаметрычных задач на доказ і вылічэнне;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задачы, задачы з міжпрадметным зместам,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7. Падобнасць </w:t>
      </w:r>
      <w:r w:rsidRPr="006B00B9">
        <w:rPr>
          <w:sz w:val="30"/>
          <w:szCs w:val="30"/>
          <w:lang w:val="be-BY"/>
        </w:rPr>
        <w:t>трохвугольнікаў (16 гадзін)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Абагульненая тэарэма Фалеса.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Падобныя трохвугольнікі. Прыметы падобнасці трохвугольнікаў.</w:t>
      </w:r>
    </w:p>
    <w:p w:rsidR="001A384F" w:rsidRPr="006B00B9" w:rsidRDefault="001A384F" w:rsidP="001A384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  <w:lang w:val="be-BY"/>
        </w:rPr>
        <w:t>Уласцівасць бісектрысы трохвугольніка. Уласцівасць плошчаў падобных трохвугольнікаў.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lastRenderedPageBreak/>
        <w:t>Метад падобнасці</w:t>
      </w:r>
      <w:r>
        <w:rPr>
          <w:iCs/>
          <w:sz w:val="30"/>
          <w:szCs w:val="30"/>
          <w:lang w:val="be-BY"/>
        </w:rPr>
        <w:t>**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зместам, іх рашэнне.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каэфіцыент падобнасці трохвугольнікаў, прапарцыянальныя адрэзкі;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адносіны адрэзкаў;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азначэнні падобных трохвугольнікаў; каэфіцыента падобнасці трохвугольнікаў;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прыметы падобнасці трохвугольнікаў;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тэарэмы аб паралельнай прамой, уласцівасць бісектрысы трохвугольніка, абагульненую тэарэму Фалеса, тэарэму, адваротную тэарэме Фалеса, уласцівасць плошчаў падобных трохвугольнікаў;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даказваць прыметы падобнасці трохвугольнікаў; абагульненую тэарэму Фалеса; тэарэму, адваротную тэарэме Фалеса; уласцівасць бісектрысы трохвугольніка; тэарэму аб адносінах плошчаў падобных трохвугольнікаў;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тэарэмы да рашэння задач на вылічэнне і доказ;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рашаць практыка-арыентаваныя задачы, задачы з міжпрадметным зместам; аналізаваць і даследаваць атрыманыя вынікі.</w:t>
      </w:r>
    </w:p>
    <w:p w:rsidR="001A384F" w:rsidRPr="006B00B9" w:rsidRDefault="001A384F" w:rsidP="001A384F">
      <w:pPr>
        <w:pStyle w:val="newncpi"/>
        <w:ind w:firstLine="0"/>
        <w:jc w:val="center"/>
        <w:rPr>
          <w:b/>
          <w:bCs/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  <w:r w:rsidRPr="006B00B9">
        <w:rPr>
          <w:bCs/>
          <w:sz w:val="30"/>
          <w:szCs w:val="30"/>
          <w:lang w:val="be-BY"/>
        </w:rPr>
        <w:t xml:space="preserve">Тэма 8. Акружнасць </w:t>
      </w:r>
      <w:r w:rsidRPr="006B00B9">
        <w:rPr>
          <w:sz w:val="30"/>
          <w:szCs w:val="30"/>
          <w:lang w:val="be-BY"/>
        </w:rPr>
        <w:t>(14 гадзін)</w:t>
      </w:r>
    </w:p>
    <w:p w:rsidR="001A384F" w:rsidRPr="006B00B9" w:rsidRDefault="001A384F" w:rsidP="001A384F">
      <w:pPr>
        <w:pStyle w:val="newncpi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Датычная і сякучая да акружнасці. Узаемнае размяшчэнне акружнасцей. Узаемнае размяшчэнне прамой і акружнасці.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Цэнтральны і ўпісаны вуглы. Градусная мера дугі акружнасці.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Вуглы, утвораныя хордамі, сякучымі і датычнымі.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Уласцівасць адрэзкаў перасякальных хорд. Уласцівасць сякучай і датычнай да акружнасці, праведзеных з аднаго пункта. Уласцівасць сякучых да акружнасці, праведзеных з аднаго пункта.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iCs/>
          <w:sz w:val="30"/>
          <w:szCs w:val="30"/>
          <w:lang w:val="be-BY"/>
        </w:rPr>
        <w:t>Геаметрычнае месца пунктаў плоскасці, з якіх дадзены адрэзак бачны пад дадзеным вуглом</w:t>
      </w:r>
      <w:r>
        <w:rPr>
          <w:iCs/>
          <w:sz w:val="30"/>
          <w:szCs w:val="30"/>
          <w:lang w:val="be-BY"/>
        </w:rPr>
        <w:t>**</w:t>
      </w:r>
      <w:r w:rsidRPr="006B00B9">
        <w:rPr>
          <w:iCs/>
          <w:sz w:val="30"/>
          <w:szCs w:val="30"/>
          <w:lang w:val="be-BY"/>
        </w:rPr>
        <w:t>.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Практыка-арыентаваныя задачы, задачы з міжпрадметным зместам і іх рашэнне.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АСНОЎНЫЯ ПАТРАБАВАННІ ДА ВЫНІКАЎ</w:t>
      </w:r>
    </w:p>
    <w:p w:rsidR="001A384F" w:rsidRPr="006B00B9" w:rsidRDefault="001A384F" w:rsidP="001A384F">
      <w:pPr>
        <w:pStyle w:val="newncpi"/>
        <w:ind w:firstLine="0"/>
        <w:jc w:val="center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ВУЧЭБНАЙ ДЗЕЙНАСЦІ ВУЧНЯЎ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Вучні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правільна ўжываюць тэрміны і выкарыстоўваюць паняцці: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градусная мера;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датычная да акружнасці, сякучая;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акружнасці, якія датыкаюцца знешнім чынам; акружнасці, якія датыкаюцца ўнутраным чынам; канцэнтрычныя акружнасці;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агульная ўнутраная датычная ў адносінах да дзвюх дадзеных акружнасцей; агульная знешняя датычная ў адносінах да дадзеных акружнасцей;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упісаны і цэнтральны вуглы;</w:t>
      </w:r>
    </w:p>
    <w:p w:rsidR="001A384F" w:rsidRPr="006B00B9" w:rsidRDefault="001A384F" w:rsidP="001A384F">
      <w:pPr>
        <w:pStyle w:val="newncpi"/>
        <w:keepNext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ведаюць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азначэнні акружнасці; датычнай і сякучай да акружнасці; акружнасці, упісанай у вугал; акружнасцей, якія датыкаюцца знешнім і ўнутраным чынам; канцэнтрычных акружнасцей; упісанага і цэнтральнага вуглоў; градуснай меры дугі акружнасці;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уласцівасці датычнай да акружнасці; адрэзкаў датычных да акружнасці, праведзеных з аднаго пункта; цэнтра акружнасці, упісанай у вугал; упісаных вуглоў, якія абапіраюцца на адну і тую ж дугу, якія абапіраюцца на дыяметр; адрэзкаў хорд, на якія яны дзеляцца пунктам перасячэння; адрэзка датычнай і сякучай, калі датычная і сякучая праходзяць праз адзін пункт, узяты па-за акружнасцю, адрэзкаў сякучых, калі сякучыя праходзяць праз адзін пункт, узяты па-за акружнасцю;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прымету датычнай да акружнасці;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формулы знаходжання вугла паміж датычнай і хордай, якія праходзяць праз адзін пункт акружнасці; вугла паміж перасякальнымі хордамі, вугла паміж сякучымі, якія праходзяць праз адзін пункт па-за акружнасцю;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тэарэмы аб велічыні ўпісанага вугла; перасякальных хордах; датычнай і сякучай;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  <w:lang w:val="be-BY"/>
        </w:rPr>
        <w:t>умеюць</w:t>
      </w:r>
      <w:r w:rsidRPr="006B00B9">
        <w:rPr>
          <w:sz w:val="30"/>
          <w:szCs w:val="30"/>
          <w:lang w:val="be-BY"/>
        </w:rPr>
        <w:t>: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даказваць уласцівасць датычнай, прымету датычнай; уласцівасць датычных да акружнасці, якія праходзяць праз адзін пункт, які ляжыць па-за акружнасцю; тэарэму аб велічыні ўпісанага вугла; тэарэму аб уласцівасці адрэзкаў перасякальных хорд;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выводзіць формулу знаходжання вугла паміж перасякальнымі хордамі; паміж сякучымі, праведзенымі з аднаго пункта, які ляжыць па-за акружнасцю;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прымяняць тэарэмы да рашэння задач на вылічэнне і доказ;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t>будаваць пры дапамозе цыркуля і лінейкі датычную да акружнасці, якая праходзіць праз пункт, які ляжыць па-за акружнасцю; прымяняць уласцівасці акружнасцей да рашэння задач на пабудову;</w:t>
      </w:r>
    </w:p>
    <w:p w:rsidR="001A384F" w:rsidRPr="006B00B9" w:rsidRDefault="001A384F" w:rsidP="001A384F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  <w:lang w:val="be-BY"/>
        </w:rPr>
        <w:lastRenderedPageBreak/>
        <w:t>рашаць практыка-арыентаваныя задачы і задачы з міжпрадметным зместам, аналізаваць і даследаваць атрыманыя вынікі.</w:t>
      </w: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B445D7" w:rsidRDefault="00B445D7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B445D7" w:rsidRDefault="00B445D7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B445D7" w:rsidRDefault="00B445D7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B445D7" w:rsidRDefault="00B445D7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B445D7" w:rsidRDefault="00B445D7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B445D7" w:rsidRDefault="00B445D7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B445D7" w:rsidRDefault="00B445D7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B445D7" w:rsidRDefault="00B445D7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B445D7" w:rsidRDefault="00B445D7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Default="001A384F" w:rsidP="001A384F">
      <w:pPr>
        <w:pStyle w:val="newncpi"/>
        <w:ind w:firstLine="709"/>
        <w:rPr>
          <w:sz w:val="30"/>
          <w:szCs w:val="30"/>
          <w:lang w:val="be-BY"/>
        </w:rPr>
      </w:pPr>
    </w:p>
    <w:p w:rsidR="001A384F" w:rsidRPr="00C732EC" w:rsidRDefault="001A384F" w:rsidP="001A384F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  <w:lang w:val="be-BY"/>
        </w:rPr>
      </w:pPr>
      <w:r w:rsidRPr="00C732EC">
        <w:rPr>
          <w:rFonts w:ascii="Times New Roman" w:hAnsi="Times New Roman" w:cs="Times New Roman"/>
          <w:color w:val="auto"/>
          <w:sz w:val="30"/>
          <w:szCs w:val="30"/>
          <w:lang w:val="be-BY"/>
        </w:rPr>
        <w:t>___________________</w:t>
      </w:r>
    </w:p>
    <w:p w:rsidR="001A384F" w:rsidRPr="00C732EC" w:rsidRDefault="001A384F" w:rsidP="001A384F">
      <w:pPr>
        <w:pStyle w:val="point"/>
        <w:ind w:firstLine="709"/>
        <w:jc w:val="left"/>
        <w:rPr>
          <w:sz w:val="22"/>
          <w:szCs w:val="22"/>
          <w:lang w:val="be-BY"/>
        </w:rPr>
      </w:pPr>
      <w:r w:rsidRPr="00C732EC">
        <w:rPr>
          <w:sz w:val="22"/>
          <w:szCs w:val="22"/>
          <w:lang w:val="be-BY"/>
        </w:rPr>
        <w:t>*Д</w:t>
      </w:r>
      <w:r w:rsidRPr="00C732EC">
        <w:rPr>
          <w:color w:val="202124"/>
          <w:sz w:val="22"/>
          <w:szCs w:val="22"/>
          <w:lang w:val="be-BY"/>
        </w:rPr>
        <w:t>адзеныя</w:t>
      </w:r>
      <w:r w:rsidRPr="00C732EC">
        <w:rPr>
          <w:sz w:val="22"/>
          <w:szCs w:val="22"/>
          <w:lang w:val="be-BY"/>
        </w:rPr>
        <w:t xml:space="preserve"> тэмы прызначаны для самастойнай пошукава-даследчай або праектнай дзейнасці вучняў (індывідуальнай або групавой), якая арганізуецца настаўнікам.</w:t>
      </w:r>
    </w:p>
    <w:p w:rsidR="001A384F" w:rsidRPr="00C732EC" w:rsidRDefault="001A384F" w:rsidP="001A384F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lang w:val="be-BY" w:eastAsia="ru-RU"/>
        </w:rPr>
      </w:pPr>
      <w:r w:rsidRPr="00C732EC">
        <w:rPr>
          <w:rFonts w:ascii="Times New Roman" w:eastAsiaTheme="minorEastAsia" w:hAnsi="Times New Roman"/>
          <w:lang w:val="be-BY" w:eastAsia="ru-RU"/>
        </w:rPr>
        <w:t>**</w:t>
      </w:r>
      <w:r w:rsidRPr="00C732EC">
        <w:rPr>
          <w:rFonts w:ascii="Times New Roman" w:hAnsi="Times New Roman"/>
          <w:lang w:val="be-BY"/>
        </w:rPr>
        <w:t>Д</w:t>
      </w:r>
      <w:r w:rsidRPr="00C732EC">
        <w:rPr>
          <w:rFonts w:ascii="Times New Roman" w:hAnsi="Times New Roman"/>
          <w:color w:val="202124"/>
          <w:lang w:val="be-BY"/>
        </w:rPr>
        <w:t xml:space="preserve">адзеныя </w:t>
      </w:r>
      <w:r w:rsidRPr="00C732EC">
        <w:rPr>
          <w:rFonts w:ascii="Times New Roman" w:hAnsi="Times New Roman"/>
          <w:lang w:val="be-BY"/>
        </w:rPr>
        <w:t>тэмы</w:t>
      </w:r>
      <w:r w:rsidRPr="00C732EC">
        <w:rPr>
          <w:rFonts w:ascii="Times New Roman" w:eastAsiaTheme="minorEastAsia" w:hAnsi="Times New Roman"/>
          <w:lang w:val="be-BY" w:eastAsia="ru-RU"/>
        </w:rPr>
        <w:t xml:space="preserve"> </w:t>
      </w:r>
      <w:r w:rsidRPr="00C732EC">
        <w:rPr>
          <w:rFonts w:ascii="Times New Roman" w:hAnsi="Times New Roman"/>
          <w:lang w:val="be-BY"/>
        </w:rPr>
        <w:t>прызначаны для</w:t>
      </w:r>
      <w:r w:rsidRPr="00C732EC">
        <w:rPr>
          <w:rFonts w:ascii="Times New Roman" w:hAnsi="Times New Roman"/>
        </w:rPr>
        <w:t xml:space="preserve"> </w:t>
      </w:r>
      <w:r w:rsidRPr="00C732EC">
        <w:rPr>
          <w:rFonts w:ascii="Times New Roman" w:hAnsi="Times New Roman"/>
          <w:lang w:val="be-BY"/>
        </w:rPr>
        <w:t>вывучэння матэматыкі на павышаным узроўні.</w:t>
      </w:r>
      <w:bookmarkStart w:id="0" w:name="_GoBack"/>
      <w:bookmarkEnd w:id="0"/>
    </w:p>
    <w:sectPr w:rsidR="001A384F" w:rsidRPr="00C732EC" w:rsidSect="00B445D7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E6" w:rsidRDefault="001613E6">
      <w:pPr>
        <w:spacing w:after="0" w:line="240" w:lineRule="auto"/>
      </w:pPr>
      <w:r>
        <w:separator/>
      </w:r>
    </w:p>
  </w:endnote>
  <w:endnote w:type="continuationSeparator" w:id="0">
    <w:p w:rsidR="001613E6" w:rsidRDefault="0016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E6" w:rsidRDefault="001613E6">
      <w:pPr>
        <w:spacing w:after="0" w:line="240" w:lineRule="auto"/>
      </w:pPr>
      <w:r>
        <w:separator/>
      </w:r>
    </w:p>
  </w:footnote>
  <w:footnote w:type="continuationSeparator" w:id="0">
    <w:p w:rsidR="001613E6" w:rsidRDefault="0016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1A384F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B445D7">
      <w:rPr>
        <w:rFonts w:ascii="Times New Roman" w:hAnsi="Times New Roman"/>
        <w:noProof/>
        <w:sz w:val="28"/>
        <w:szCs w:val="28"/>
      </w:rPr>
      <w:t>15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1613E6"/>
    <w:rsid w:val="001A384F"/>
    <w:rsid w:val="008729CF"/>
    <w:rsid w:val="00AC62E8"/>
    <w:rsid w:val="00B4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3</cp:revision>
  <dcterms:created xsi:type="dcterms:W3CDTF">2023-08-26T10:45:00Z</dcterms:created>
  <dcterms:modified xsi:type="dcterms:W3CDTF">2023-08-28T11:33:00Z</dcterms:modified>
</cp:coreProperties>
</file>