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3302"/>
      </w:tblGrid>
      <w:tr w:rsidR="00A06EFC" w:rsidRPr="006B00B9" w:rsidTr="00E50BA8">
        <w:trPr>
          <w:trHeight w:val="238"/>
        </w:trPr>
        <w:tc>
          <w:tcPr>
            <w:tcW w:w="3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6EFC" w:rsidRPr="006B00B9" w:rsidRDefault="00A06EFC" w:rsidP="00E50BA8">
            <w:pPr>
              <w:pStyle w:val="cap1"/>
              <w:rPr>
                <w:sz w:val="30"/>
                <w:szCs w:val="30"/>
                <w:lang w:val="be-BY"/>
              </w:rPr>
            </w:pP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6EFC" w:rsidRDefault="00A06EFC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>ЗАЦВЕРДЖАНА</w:t>
            </w:r>
          </w:p>
          <w:p w:rsidR="00A06EFC" w:rsidRPr="006B00B9" w:rsidRDefault="00A06EFC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</w:p>
          <w:p w:rsidR="00A06EFC" w:rsidRPr="006B00B9" w:rsidRDefault="00A06EFC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>Пастанова</w:t>
            </w:r>
          </w:p>
          <w:p w:rsidR="00A06EFC" w:rsidRPr="006B00B9" w:rsidRDefault="00A06EFC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>Міністэрства адукацыі</w:t>
            </w:r>
          </w:p>
          <w:p w:rsidR="00A06EFC" w:rsidRPr="006B00B9" w:rsidRDefault="00A06EFC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 xml:space="preserve">Рэспублікі Беларусь </w:t>
            </w:r>
          </w:p>
          <w:p w:rsidR="00A06EFC" w:rsidRPr="006B00B9" w:rsidRDefault="00A06EFC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07.07.</w:t>
            </w:r>
            <w:r w:rsidRPr="006B00B9">
              <w:rPr>
                <w:sz w:val="30"/>
                <w:szCs w:val="30"/>
                <w:lang w:val="be-BY"/>
              </w:rPr>
              <w:t>2023 №</w:t>
            </w:r>
            <w:r>
              <w:rPr>
                <w:sz w:val="30"/>
                <w:szCs w:val="30"/>
                <w:lang w:val="be-BY"/>
              </w:rPr>
              <w:t xml:space="preserve"> 190</w:t>
            </w:r>
          </w:p>
        </w:tc>
      </w:tr>
    </w:tbl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A06EFC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>Вучэбная праграма па вучэбным прадмеце «Матэматыка»</w:t>
      </w:r>
    </w:p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для X класа </w:t>
      </w:r>
      <w:r w:rsidR="00876C6B">
        <w:rPr>
          <w:b w:val="0"/>
          <w:sz w:val="30"/>
          <w:szCs w:val="30"/>
          <w:lang w:val="be-BY"/>
        </w:rPr>
        <w:t>ў</w:t>
      </w:r>
      <w:r w:rsidRPr="006B00B9">
        <w:rPr>
          <w:b w:val="0"/>
          <w:sz w:val="30"/>
          <w:szCs w:val="30"/>
          <w:lang w:val="be-BY"/>
        </w:rPr>
        <w:t>станоў адукацыі, якія рэалізуюць</w:t>
      </w:r>
    </w:p>
    <w:p w:rsidR="00A06EFC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>адукацыйныя праграмы агульнай сярэдняй адукацыі</w:t>
      </w:r>
    </w:p>
    <w:p w:rsidR="00A06EFC" w:rsidRPr="006B00B9" w:rsidRDefault="00A06EFC" w:rsidP="00A06EFC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>з беларускай мовай навучання і выхавання</w:t>
      </w:r>
    </w:p>
    <w:p w:rsidR="00A06EFC" w:rsidRPr="006B00B9" w:rsidRDefault="00A06EFC" w:rsidP="00A06EF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(базавы ўзровень)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bCs/>
          <w:sz w:val="30"/>
          <w:szCs w:val="30"/>
          <w:lang w:val="be-BY"/>
        </w:rPr>
        <w:br w:type="page"/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ГЛАВА 1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АГУЛЬНЫЯ ПАЛАЖЭННІ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1. </w:t>
      </w:r>
      <w:r>
        <w:rPr>
          <w:rFonts w:ascii="Times New Roman" w:hAnsi="Times New Roman"/>
          <w:sz w:val="30"/>
          <w:szCs w:val="30"/>
          <w:lang w:val="be-BY"/>
        </w:rPr>
        <w:t>Дадзеная в</w:t>
      </w:r>
      <w:r w:rsidRPr="006B00B9">
        <w:rPr>
          <w:rFonts w:ascii="Times New Roman" w:hAnsi="Times New Roman"/>
          <w:sz w:val="30"/>
          <w:szCs w:val="30"/>
          <w:lang w:val="be-BY"/>
        </w:rPr>
        <w:t>учэбная праграма па вучэбным прадмеце «Матэматыка» (далей – вучэбная праграма) прызначана для вывучэння зместу вучэбнага прадмета «Матэматыка» ў X–XІ класах устаноў адукацыі, якія рэалізуюць адукацыйныя праграмы агульнай сярэдняй адукацыі.</w:t>
      </w:r>
    </w:p>
    <w:p w:rsidR="00A06EFC" w:rsidRPr="006B00B9" w:rsidRDefault="00A06EFC" w:rsidP="00A06E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2. </w:t>
      </w:r>
      <w:r>
        <w:rPr>
          <w:rFonts w:ascii="Times New Roman" w:hAnsi="Times New Roman"/>
          <w:sz w:val="30"/>
          <w:szCs w:val="30"/>
          <w:lang w:val="be-BY"/>
        </w:rPr>
        <w:t>Дадзеная в</w:t>
      </w:r>
      <w:r w:rsidRPr="006B00B9">
        <w:rPr>
          <w:rFonts w:ascii="Times New Roman" w:hAnsi="Times New Roman"/>
          <w:sz w:val="30"/>
          <w:szCs w:val="30"/>
          <w:lang w:val="be-BY"/>
        </w:rPr>
        <w:t>учэбная праграма разлічана на 140 гадзін для X класа (4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  <w:lang w:val="be-BY"/>
        </w:rPr>
        <w:t>гадзіны на тыдзень) і на 136 гадзін для XI класа (4 гадзіны на тыдзень). Пры гэтым для кожнага класа прадугледжана па 5 рэзервовых гадзін.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 вывучэнні вучэбнага прадмета «Матэматыка» ў X–XІ класах вылучаюцца два змястоўныя кампаненты: алгебраічны і геаметрычны. Пры вывучэнні ў X–XІ класах зместу алгебраічнага і геаметрычнага кампанентаў вучэбныя гадзіны размяркоўваюцца: I і III чвэрці – 4 вучэбныя гадзіны на тыдзень: 2 гадзіны – алгебра і 2 гадзіны – геаметрыя; II і IV чвэрці – 4 вучэбныя гадзіны на тыдзень: 3 гадзіны – алгебра і 1 гадзіна – геаметрыя.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Колькасць вучэбных гадзін, адведзеная на вывучэнне зместу адпаведных тэм у X–XІ класах, з’яўляецца прыкладнай і ўключае рэзерв вучэбных гадзін, вучэбныя гадзіны для арганізацыі паўтарэння, падагульнення і сістэматызацыі вучэбнага матэрыялу. Настаўнік мае права пры неабходнасці пераразмеркаваць колькасць гадзін, адведзеную на вывучэнне зместу вучэбнага прадмета на тыдзень, паміж алгебраічным і геаметрычным кампанентамі з улікам педагагічна мэтазгодных метадаў навучання і выхавання, форм правядзення вучэбных заняткаў, відаў дзейнасці і пазнавальных магчымасцей вучняў.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3. Мэты:</w:t>
      </w:r>
    </w:p>
    <w:p w:rsidR="00A06EFC" w:rsidRPr="006B00B9" w:rsidRDefault="00A06EFC" w:rsidP="00A06EFC">
      <w:pPr>
        <w:pStyle w:val="point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фарміраванне ў вучняў навуковага светапогляду, пазнавальнай цікавасці, прадметных і метапрадметных кампетэнцый, лагічнага мыслення, інтуіцыі, прасторавага ўяўлення, неабходных для станаўлення асобы, здольнай да самапазнання і самаразвіцця;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фарміраванне ў вучняў матэматычнай адукаванасці і авалоданне імі пры вывучэнні вучэбнага прадмета «Матэматыка» разнастайнымі спосабамі дзейнасці, якія прымяняюцца як у межах адукацыйнага працэсу, так і ў рэальных жыццёвых сітуацыях;</w:t>
      </w:r>
    </w:p>
    <w:p w:rsidR="00A06EFC" w:rsidRPr="006B00B9" w:rsidRDefault="00A06EFC" w:rsidP="00A06EFC">
      <w:pPr>
        <w:pStyle w:val="point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авалоданне вучнямі ўменнямі, навыкамі, спосабамі дзейнасці, кампанентамі прадметнай кампетэнцыі, неабходнымі для працягу атрымання адукацыі;</w:t>
      </w:r>
    </w:p>
    <w:p w:rsidR="00A06EFC" w:rsidRPr="006B00B9" w:rsidRDefault="00A06EFC" w:rsidP="00A06EFC">
      <w:pPr>
        <w:pStyle w:val="point"/>
        <w:ind w:firstLine="709"/>
        <w:rPr>
          <w:rFonts w:eastAsia="Times New Roman"/>
          <w:sz w:val="30"/>
          <w:szCs w:val="30"/>
          <w:u w:val="single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фарміраванне маральных якасцей вучняў, іх каштоўнасных адносін да ісціны, аб’ектыўнага самааналізу і самаацэнкі, здольнасці аргументавана адстойваць свае перакананні.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4. Задачы: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фарміраванне ў вучняў уяўленняў пра матэматыку як частку агульначалавечай культуры, значнасць матэматыкі ў развіцці цывілізацыі і сучаснага грамадства;</w:t>
      </w:r>
    </w:p>
    <w:p w:rsidR="00A06EFC" w:rsidRPr="006B00B9" w:rsidRDefault="00A06EFC" w:rsidP="00A06EFC">
      <w:pPr>
        <w:pStyle w:val="point"/>
        <w:ind w:firstLine="709"/>
        <w:rPr>
          <w:strike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развіццё ў вучняў культуры вуснага і пісьмовага маўлення з прымяненнем матэматычнай тэрміналогіі і сімволікі, лагічнага і крытычнага мыслення, здольнасці аргументавана адстойваць свае перакананні, гатоўнасці да прымянення матэматычных ведаў у паўсядзённым жыцці; </w:t>
      </w:r>
    </w:p>
    <w:p w:rsidR="00A06EFC" w:rsidRPr="006B00B9" w:rsidRDefault="00A06EFC" w:rsidP="00A06EFC">
      <w:pPr>
        <w:pStyle w:val="point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развіццё ўменняў працаваць з рознымі крыніцамі інфармацыі; апісваць рэальныя аб’екты і з’явы з дапамогай матэматычных мадэлей;</w:t>
      </w:r>
    </w:p>
    <w:p w:rsidR="00A06EFC" w:rsidRPr="006B00B9" w:rsidRDefault="00A06EFC" w:rsidP="00A06EFC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фарміраванне ў вучняў умення самастойна набываць новыя веды, кантраляваць вынікі вучэбнай дзейнасці;</w:t>
      </w:r>
    </w:p>
    <w:p w:rsidR="00A06EFC" w:rsidRPr="006B00B9" w:rsidRDefault="00A06EFC" w:rsidP="00A06EFC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выхаванне якасцей асобы, якія забяспечваюць сацыяльную мабільнасць, здольнасць прымаць самастойныя рашэнні і несці за іх адказнасць.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5. На вучэбных занятках рэкамендуецца выкарыстоўваць разнастайныя метады навучання і выхавання, накіраваныя на актывізацыю самастойнай пазнавальнай дзейнасці вучняў (метад праблемнага навучання, метад праектаў, іншыя метады навучання і выхавання).</w:t>
      </w:r>
    </w:p>
    <w:p w:rsidR="00A06EFC" w:rsidRPr="006B00B9" w:rsidRDefault="00A06EFC" w:rsidP="00A06EFC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Мэтазгодна спалучаць франтальныя, групавыя, парныя і індывідуальныя формы навучання, выкарыстоўваць такія віды вучэбных заняткаў, як урок-даследаванне, урок-практыкум, урок абароны праектаў, інтэграваны ўрок, іншыя віды вучэбных заняткаў.</w:t>
      </w:r>
    </w:p>
    <w:p w:rsidR="00A06EFC" w:rsidRPr="006B00B9" w:rsidRDefault="00A06EFC" w:rsidP="00A06EFC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Выбар форм і метадаў навучання і выхавання ажыццяўляецца настаўнікам самастойна на аснове мэт і задач вывучэння канкрэтнай тэмы, вызначаных у вучэбнай праграме асноўных патрабаванняў да вынікаў вучэбнай дзейнасці вучняў з улікам іх узроставых і індывідуальных асаблівасцей.</w:t>
      </w:r>
    </w:p>
    <w:p w:rsidR="00A06EFC" w:rsidRPr="006B00B9" w:rsidRDefault="00A06EFC" w:rsidP="00A06EFC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Разам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іншыя электронныя сродкі. Іх прымяненне спрыяе павышэнню ступені нагляднасці, канкрэтызацыі вывучаных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У раздзеле «Асноўныя патрабаванні да вынікаў вучэбнай дзейнасці вучняў» указаны вынікі, якіх павінны дасягнуць вучні пры засваенні прад’яўленага зместу.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«ведаць» азначае, што вучань ведае азначэнні, правілы, тэарэмы, алгарытмы, прыёмы, метады, спосабы дзейнасці і аперыруе імі.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«ўмець» фіксуе сфарміраванасць навыкаў прымянення ведаў, спосабаў дзейнасці па іх засваенні і прымяненні, арыентаваных на кампетэнтнасны складнік вынікаў вучэбнай дзейнасці.</w:t>
      </w:r>
    </w:p>
    <w:p w:rsidR="00A06EFC" w:rsidRPr="002973FA" w:rsidRDefault="00A06EFC" w:rsidP="00A06EFC">
      <w:pPr>
        <w:pStyle w:val="af3"/>
        <w:spacing w:before="0" w:beforeAutospacing="0" w:after="0" w:afterAutospacing="0"/>
        <w:ind w:firstLine="709"/>
        <w:jc w:val="both"/>
        <w:rPr>
          <w:strike/>
          <w:sz w:val="30"/>
          <w:szCs w:val="30"/>
          <w:lang w:val="be-BY"/>
        </w:rPr>
      </w:pPr>
      <w:r w:rsidRPr="002973FA">
        <w:rPr>
          <w:sz w:val="30"/>
          <w:szCs w:val="30"/>
          <w:lang w:val="be-BY"/>
        </w:rPr>
        <w:t>У працэсе вывучэння зместу вучэбнага прадмета «Матэматыка» асаблівае месца адводзіцца рашэнню задач, арганізацыі праектнай дзейнасці.</w:t>
      </w:r>
    </w:p>
    <w:p w:rsidR="00A06EFC" w:rsidRPr="006B00B9" w:rsidRDefault="00A06EFC" w:rsidP="00A06EFC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2973FA">
        <w:rPr>
          <w:sz w:val="30"/>
          <w:szCs w:val="30"/>
          <w:lang w:val="be-BY"/>
        </w:rPr>
        <w:t>6. Чаканыя вынікі вывучэння зместу вучэбнага прадмета «Матэматыка</w:t>
      </w:r>
      <w:r w:rsidRPr="006B00B9">
        <w:rPr>
          <w:sz w:val="30"/>
          <w:szCs w:val="30"/>
          <w:lang w:val="be-BY"/>
        </w:rPr>
        <w:t>»: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6.1. асобасныя: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валодае матэматычнымі ведамі, уменнямі, навыкамі, спосабамі дзейнасці, неабходнымі пры вывучэнні іншых вучэбных прадметаў;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разумее значнасць адукацыі для асобаснага развіцця і самавызначэння;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дэманструе ўстойлівую цікавасць да самастойнай дзейнасці, самаразвіцця, самапазнання;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праяўляе гатоўнасць да выбару далейшай адукацыйнай траекторыі ў адпаведнасці са сваімі магчымасцямі, здольнасцямі і інтарэсамі;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6.2. метапрадметныя: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мае сфарміраваныя агульнавучэбныя ўменні і навыкі, якія забяспечваюць здольнасць працаваць з інфармацыяй, вылучаць у ёй галоўнае; крытычна ацэньваць інфармацыю, атрыманую з розных крыніц, правільна інтэрпрэтаваць і выкарыстоўваць яе;</w:t>
      </w:r>
    </w:p>
    <w:p w:rsidR="00A06EFC" w:rsidRPr="006B00B9" w:rsidRDefault="00A06EFC" w:rsidP="00A06EF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умее: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аналізаваць і аперыраваць паняццямі, рабіць абагульненні, устанаўліваць аналогіі і прычынна-выніковыя сувязі, класіфікаваць, будаваць лагічную выснову і рабіць вывады;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мадэляваць рэальныя аб’екты, з’явы і працэсы з дапамогай матэматычных мадэлей;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інтэграваць веды з розных прадметных галін для эфектыўнага вырашэння рознага роду жыццёвых задач, на аснове якіх фарміруюцца і развіваюцца кампетэнцыі вучня;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выкарыстоўваць розныя крыніцы інфармацыі з вучэбна-пазнавальнымі мэтамі; вылучаць галоўнае, істотныя прыметы паняццяў; працаваць з тэкставай і графічнай інфармацыяй (аналізаваць, здабываць неабходную інфармацыю);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дакладна і правільна выказваць свае думкі ў вусным і пісьмовым маўленні з прымяненнем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праяўляе цікавасць да вучэбна-даследчай і праектнай дзейнасці, здольнасць і гатоўнасць да самастойнай творчай дзейнасці;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6.3. прадметныя: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мае ўяўленне пра матэматыку як частку сусветнай культуры і пра месца матэматыкі ў сучаснай цывілізацыі, спосабы апісання на матэматычнай мове з’яў навакольнага свету;</w:t>
      </w:r>
    </w:p>
    <w:p w:rsidR="00A06EFC" w:rsidRPr="006B00B9" w:rsidRDefault="00A06EFC" w:rsidP="00A06EFC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валодае прыёмамі:</w:t>
      </w:r>
    </w:p>
    <w:p w:rsidR="00A06EFC" w:rsidRPr="006B00B9" w:rsidRDefault="00A06EFC" w:rsidP="00A06EFC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выканання тоесных пераўтварэнняў лікавых выразаў і выразаў са зменнымі; рашэння трыганаметрычных ураўненняў, ірацыянальных ураўненняў, паказальных і лагарыфмічных ураўненняў і сістэм; найпрасцейшых трыганаметрычных няроўнасцей; паказальных і лагарыфмічных няроўнасцей і сістэм няроўнасцей; пабудовы графікаў функцый;</w:t>
      </w:r>
    </w:p>
    <w:p w:rsidR="00A06EFC" w:rsidRPr="006B00B9" w:rsidRDefault="00A06EFC" w:rsidP="00A06EFC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рашэння геаметрычных задач на доказ і вылічэнне з выкарыстаннем уласцівасцей фігур;</w:t>
      </w:r>
    </w:p>
    <w:p w:rsidR="00A06EFC" w:rsidRPr="006B00B9" w:rsidRDefault="00A06EFC" w:rsidP="00A06EFC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валодае навыкамі мадэлявання пры рашэнні тэкставых, практыка-арыентаваных задач, задач з міжпрадметным зместам.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7. Кантроль і ацэнка вынікаў вучэбнай дзейнасці вучняў з’яўляюцца абавязковымі кампанентамі адукацыйнага працэсу пры вывучэнні зместу вучэбнага прадмета «Матэматыка».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Прызначэнне кантролю ва ўсёй разнастайнасці яго форм, відаў і метадаў правядзення – праверка адпаведнасці вынікаў вучэбнай дзейнасці кожнага вучня асноўным патрабаванням да вынікаў вучэбнай дзейнасці вучняў, устаноўленым у главах 2 і 3 вучэбнай праграмы, і на гэтай аснове ажыццяўляецца карэкціроўка вучэбна-пазнавальнай дзейнасці вучняў.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Кантрольныя работы: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X клас – 6 работ;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XІ клас – 6 работ, у тым ліку «Выніковая кантрольная работа».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Колькасць тэматычных самастойных работ вызначае настаўнік. Рэкамендавана правядзенне тэматычных самастойных работ, якія змяшчаюць алгебраічны і геаметрычны матэрыял.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8. Змест вучэбнага прадмета «Матэматыка» грунтуецца на раздзелах матэматыкі: арыфметыка; алгебра; мноствы; функцыі; геаметрыя. У сваю чаргу раздзелы матэматыкі выбудоўваюцца з улікам логікі і мэтазгоднасці ў змястоўныя лініі, якія пранізваюць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іншымі вучэбнымі прадметамі.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Змест вучэбнага прадмета «Матэматыка», вучэбная дзейнасць вучняў, асноўныя патрабаванні да яе вынікаў канцэнтруюцца па наступных змястоўных лініях: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лікі і вылічэнні;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выразы і іх пераўтварэнні;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ураўненні і няроўнасці;</w:t>
      </w:r>
    </w:p>
    <w:p w:rsidR="00A06EFC" w:rsidRPr="006B00B9" w:rsidRDefault="00A06EFC" w:rsidP="00A06EFC">
      <w:pPr>
        <w:pStyle w:val="newncpi"/>
        <w:ind w:firstLine="709"/>
        <w:rPr>
          <w:strike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каардынаты і функцыі;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геаметрычныя фігуры і іх уласцівасці;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геаметрычныя велічыні;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матэматычнае мадэляванне рэальных аб’ектаў.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Прадстаўленыя ў вучэбнай праграме вучэбны матэрыял змястоўнага кампанента, асноўныя патрабаванні да вынікаў вучэбнай дзейнасці вучняў структуруюцца па тэмах асобна для алгебраічнага і геаметрычнага кампанентаў з улікам паралельнасці вывучэння вучэбнага матэрыялу.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ГЛАВА 2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ЗМЕСТ ВУЧЭБНАГА ПРАДМЕТА Ў X КЛАСЕ.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(4 гадзіны на тыдзень, усяго 140 гадзін, у тым ліку 5 рэзервовых гадзін)</w:t>
      </w:r>
    </w:p>
    <w:p w:rsidR="00A06EFC" w:rsidRPr="006B00B9" w:rsidRDefault="00A06EFC" w:rsidP="00A06EFC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Алгебраічны кампанент – 84 гадзіны</w:t>
      </w:r>
    </w:p>
    <w:p w:rsidR="00A06EFC" w:rsidRPr="006B00B9" w:rsidRDefault="00A06EFC" w:rsidP="00A06EFC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 кампанент – 56 гадзін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Тэма 1. Трыганаметрыя (40 гадзін)</w:t>
      </w: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A06EFC" w:rsidRPr="006B00B9" w:rsidRDefault="00A06EFC" w:rsidP="00A06EFC">
      <w:pPr>
        <w:pStyle w:val="31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sz w:val="30"/>
          <w:szCs w:val="30"/>
          <w:lang w:val="be-BY"/>
        </w:rPr>
        <w:t>Адзінкавая акружнасць. Градусная і радыянная мера адвольнага вугла. Азначэнне сінуса, косінуса, тангенса, катангенса адвольнага вугла.</w:t>
      </w:r>
    </w:p>
    <w:p w:rsidR="00A06EFC" w:rsidRPr="006B00B9" w:rsidRDefault="00A06EFC" w:rsidP="00A06EFC">
      <w:pPr>
        <w:pStyle w:val="31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sz w:val="30"/>
          <w:szCs w:val="30"/>
          <w:lang w:val="be-BY"/>
        </w:rPr>
        <w:t>Суадносіны паміж сінусам, косінусам, тангенсам і катангенсам аднаго і таго ж вугла (трыганаметрычныя тоеснасці).</w:t>
      </w:r>
    </w:p>
    <w:p w:rsidR="00A06EFC" w:rsidRPr="006B00B9" w:rsidRDefault="00A06EFC" w:rsidP="00A06EFC">
      <w:pPr>
        <w:pStyle w:val="31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6B00B9">
        <w:rPr>
          <w:rFonts w:ascii="Times New Roman" w:hAnsi="Times New Roman" w:cs="Times New Roman"/>
          <w:color w:val="auto"/>
          <w:sz w:val="30"/>
          <w:szCs w:val="30"/>
          <w:lang w:val="be-BY"/>
        </w:rPr>
        <w:t>Трыганаметрычныя функцыі лікавага аргумента. Уласцівасці і графікі трыганаметрычных функцый.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Арксінус, арккосінус, арктангенс і арккатангенс ліку.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Трыганаметрычныя ўраўненні.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Формулы прывядзення. Сінус, косінус, тангенс сумы і рознасці. Формулы двайнога аргумента. Формулы пераўтварэння сумы і рознасці сінуса (косінуса) у здабытак.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A06E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A06EFC" w:rsidRPr="006B00B9" w:rsidRDefault="00A06EFC" w:rsidP="00A06E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адзінкавая акружнасць; паварот пункта P</w:t>
      </w:r>
      <w:r w:rsidRPr="006B00B9">
        <w:rPr>
          <w:rFonts w:ascii="Times New Roman" w:hAnsi="Times New Roman"/>
          <w:sz w:val="30"/>
          <w:szCs w:val="30"/>
          <w:vertAlign w:val="subscript"/>
          <w:lang w:val="be-BY"/>
        </w:rPr>
        <w:t>0</w:t>
      </w:r>
      <w:r w:rsidRPr="006B00B9">
        <w:rPr>
          <w:rFonts w:ascii="Times New Roman" w:hAnsi="Times New Roman"/>
          <w:sz w:val="30"/>
          <w:szCs w:val="30"/>
          <w:lang w:val="be-BY"/>
        </w:rPr>
        <w:t>(1; 0) вакол пачатку каардынат; сінус, косінус, тангенс, катангенс адвольнага вугла; трыганаметрычныя функцыі лікавага аргумента; арксінус, арккосінус, арктангенс і арккатангенс ліку;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ведаюць: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уласцівасці трыганаметрычных функцый;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формулы прывядзення, сумы і рознасці аргументаў, двайнога аргумента; пераўтварэнні сумы і рознасці трыганаметрычных функцый у здабытак;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лікавыя значэнні выразаў sin </w:t>
      </w:r>
      <w:r w:rsidRPr="006B00B9">
        <w:rPr>
          <w:rFonts w:ascii="Times New Roman" w:hAnsi="Times New Roman"/>
          <w:sz w:val="30"/>
          <w:szCs w:val="30"/>
          <w:lang w:val="be-BY"/>
        </w:rPr>
        <w:sym w:font="Symbol" w:char="F061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, cos </w:t>
      </w:r>
      <w:r w:rsidRPr="006B00B9">
        <w:rPr>
          <w:rFonts w:ascii="Times New Roman" w:hAnsi="Times New Roman"/>
          <w:sz w:val="30"/>
          <w:szCs w:val="30"/>
          <w:lang w:val="be-BY"/>
        </w:rPr>
        <w:sym w:font="Symbol" w:char="F061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пры </w:t>
      </w:r>
      <w:r w:rsidRPr="006B00B9">
        <w:rPr>
          <w:rFonts w:ascii="Times New Roman" w:hAnsi="Times New Roman"/>
          <w:sz w:val="30"/>
          <w:szCs w:val="30"/>
          <w:lang w:val="be-BY"/>
        </w:rPr>
        <w:sym w:font="Symbol" w:char="F061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, роўным 0, </w: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instrText>QUOTE</w:instrText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7C0F3C13" wp14:editId="6F8098AA">
            <wp:extent cx="137160" cy="289560"/>
            <wp:effectExtent l="0" t="0" r="0" b="0"/>
            <wp:docPr id="5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36DA406" wp14:editId="103A542C">
            <wp:extent cx="137160" cy="289560"/>
            <wp:effectExtent l="0" t="0" r="0" b="0"/>
            <wp:docPr id="5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instrText>QUOTE</w:instrText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28BBD53B" wp14:editId="48F00995">
            <wp:extent cx="137160" cy="289560"/>
            <wp:effectExtent l="0" t="0" r="0" b="0"/>
            <wp:docPr id="5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BAC681B" wp14:editId="60229884">
            <wp:extent cx="137160" cy="289560"/>
            <wp:effectExtent l="0" t="0" r="0" b="0"/>
            <wp:docPr id="5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instrText>QUOTE</w:instrText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2A41EF73" wp14:editId="3E8BCD0B">
            <wp:extent cx="137160" cy="289560"/>
            <wp:effectExtent l="0" t="0" r="0" b="0"/>
            <wp:docPr id="5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1445F6AA" wp14:editId="5B149F2A">
            <wp:extent cx="137160" cy="289560"/>
            <wp:effectExtent l="0" t="0" r="0" b="0"/>
            <wp:docPr id="5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instrText>QUOTE</w:instrText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12AEC11" wp14:editId="26AF31E7">
            <wp:extent cx="137160" cy="289560"/>
            <wp:effectExtent l="0" t="0" r="0" b="0"/>
            <wp:docPr id="5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2A1A29B6" wp14:editId="48BEE6D6">
            <wp:extent cx="137160" cy="289560"/>
            <wp:effectExtent l="0" t="0" r="0" b="0"/>
            <wp:docPr id="5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6B00B9">
        <w:rPr>
          <w:rFonts w:ascii="Times New Roman" w:hAnsi="Times New Roman"/>
          <w:sz w:val="30"/>
          <w:szCs w:val="30"/>
        </w:rPr>
        <w:t>π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instrText>QUOTE</w:instrText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5EAA70AA" wp14:editId="4BB10A31">
            <wp:extent cx="236220" cy="327660"/>
            <wp:effectExtent l="0" t="0" r="0" b="0"/>
            <wp:docPr id="5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1E0CADF" wp14:editId="07D3BB63">
            <wp:extent cx="236220" cy="327660"/>
            <wp:effectExtent l="0" t="0" r="0" b="0"/>
            <wp:docPr id="5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6B00B9">
        <w:rPr>
          <w:rFonts w:ascii="Times New Roman" w:hAnsi="Times New Roman"/>
          <w:sz w:val="30"/>
          <w:szCs w:val="30"/>
          <w:lang w:val="be-BY"/>
        </w:rPr>
        <w:t>, 2</w:t>
      </w:r>
      <w:r w:rsidRPr="006B00B9">
        <w:rPr>
          <w:rFonts w:ascii="Times New Roman" w:hAnsi="Times New Roman"/>
          <w:sz w:val="30"/>
          <w:szCs w:val="30"/>
        </w:rPr>
        <w:sym w:font="Symbol" w:char="F070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, і </w:t>
      </w:r>
      <w:r w:rsidRPr="006B00B9">
        <w:rPr>
          <w:rFonts w:ascii="Times New Roman" w:hAnsi="Times New Roman"/>
          <w:sz w:val="30"/>
          <w:szCs w:val="30"/>
        </w:rPr>
        <w:t>tg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sym w:font="Symbol" w:char="F061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6B00B9">
        <w:rPr>
          <w:rFonts w:ascii="Times New Roman" w:hAnsi="Times New Roman"/>
          <w:sz w:val="30"/>
          <w:szCs w:val="30"/>
        </w:rPr>
        <w:t>ctg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sym w:font="Symbol" w:char="F061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для гэтых вуглоў (у выпадку існавання гэтых значэнняў);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значэнні выразаў arcsin </w:t>
      </w:r>
      <w:r w:rsidRPr="006B00B9">
        <w:rPr>
          <w:rFonts w:ascii="Times New Roman" w:hAnsi="Times New Roman"/>
          <w:i/>
          <w:sz w:val="30"/>
          <w:szCs w:val="30"/>
          <w:lang w:val="en-US"/>
        </w:rPr>
        <w:t>a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і arccos </w:t>
      </w:r>
      <w:r w:rsidRPr="006B00B9">
        <w:rPr>
          <w:rFonts w:ascii="Times New Roman" w:hAnsi="Times New Roman"/>
          <w:i/>
          <w:sz w:val="30"/>
          <w:szCs w:val="30"/>
          <w:lang w:val="en-US"/>
        </w:rPr>
        <w:t>a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пры </w:t>
      </w:r>
      <w:r w:rsidRPr="006B00B9">
        <w:rPr>
          <w:rFonts w:ascii="Times New Roman" w:hAnsi="Times New Roman"/>
          <w:i/>
          <w:sz w:val="30"/>
          <w:szCs w:val="30"/>
          <w:lang w:val="en-US"/>
        </w:rPr>
        <w:t>a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, роўным 0, </w: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instrText>QUOTE</w:instrText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0C8676E" wp14:editId="0334D615">
            <wp:extent cx="220980" cy="289560"/>
            <wp:effectExtent l="0" t="0" r="0" b="0"/>
            <wp:docPr id="6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1D05A56B" wp14:editId="7CA7BFC7">
            <wp:extent cx="220980" cy="289560"/>
            <wp:effectExtent l="0" t="0" r="0" b="0"/>
            <wp:docPr id="6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instrText>QUOTE</w:instrText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A753831" wp14:editId="0DF9963B">
            <wp:extent cx="304800" cy="32766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3B051486" wp14:editId="4CF13045">
            <wp:extent cx="304800" cy="327660"/>
            <wp:effectExtent l="0" t="0" r="0" b="0"/>
            <wp:docPr id="6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instrText>QUOTE</w:instrText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5BD5ADDE" wp14:editId="2F7BFF95">
            <wp:extent cx="304800" cy="327660"/>
            <wp:effectExtent l="0" t="0" r="0" b="0"/>
            <wp:docPr id="64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308BA1D" wp14:editId="40D8D336">
            <wp:extent cx="304800" cy="327660"/>
            <wp:effectExtent l="0" t="0" r="0" b="0"/>
            <wp:docPr id="6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, ±1, і выразаў arctg </w:t>
      </w:r>
      <w:r w:rsidRPr="006B00B9">
        <w:rPr>
          <w:rFonts w:ascii="Times New Roman" w:hAnsi="Times New Roman"/>
          <w:i/>
          <w:sz w:val="30"/>
          <w:szCs w:val="30"/>
          <w:lang w:val="en-US"/>
        </w:rPr>
        <w:t>a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і arcctg </w:t>
      </w:r>
      <w:r w:rsidRPr="006B00B9">
        <w:rPr>
          <w:rFonts w:ascii="Times New Roman" w:hAnsi="Times New Roman"/>
          <w:i/>
          <w:sz w:val="30"/>
          <w:szCs w:val="30"/>
          <w:lang w:val="en-US"/>
        </w:rPr>
        <w:t>a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пры </w:t>
      </w:r>
      <w:r w:rsidRPr="006B00B9">
        <w:rPr>
          <w:rFonts w:ascii="Times New Roman" w:hAnsi="Times New Roman"/>
          <w:i/>
          <w:sz w:val="30"/>
          <w:szCs w:val="30"/>
          <w:lang w:val="en-US"/>
        </w:rPr>
        <w:t>a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, роўным 0, </w: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592B8EF0" wp14:editId="77178299">
            <wp:extent cx="312420" cy="36576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iCs/>
          <w:sz w:val="30"/>
          <w:szCs w:val="30"/>
          <w:lang w:val="be-BY"/>
        </w:rPr>
        <w:t>,</w: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5BFA199F" wp14:editId="24B5D449">
            <wp:extent cx="190500" cy="14478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iCs/>
          <w:sz w:val="30"/>
          <w:szCs w:val="30"/>
          <w:lang w:val="be-BY"/>
        </w:rPr>
        <w:t xml:space="preserve">, </w: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E9DC118" wp14:editId="3505A7FC">
            <wp:extent cx="274320" cy="19812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t>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формулы рашэння найпрасцейшых трыганаметрычных ураўненняў;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пераводзіць градусную меру вуглоў у радыянную і выконваць адваротныя дзеянні;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будаваць вуглы па зададзенай градуснай ці радыяннай меры;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выкарыстоўваць адзінкавую акружнасць для знаходжання значэнняў сінуса, косінуса, тангенса і катангенса зададзеных вуглоў;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будаваць вуглы па зададзеным значэнні іх сінуса, косінуса, тангенса і катангенса;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знаходзіць лікавыя значэнні трыганаметрычных выразаў, выкарыстоўваючы значэнні трыганаметрычных функцый і адпаведныя формулы;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выконваць тоесныя пераўтварэнні трыганаметрычных выразаў з дапамогай трыганаметрычных формул;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будаваць графікі трыганаметрычных функцый і прымяняць іх уласцівасці для рашэння задач;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найпрасцейшыя трыганаметрычныя ўраўненні;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вызначаць від трыганаметрычных ураўненняў і прымяняць метады іх рашэння;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практыка-арыентаваныя задачы і задачы з міжпрадметным зместам.</w:t>
      </w: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Тэма 2. Корань n-й ступені з ліку а (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en-US"/>
        </w:rPr>
        <w:t>n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≥ 2,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en-US"/>
        </w:rPr>
        <w:t>n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fldChar w:fldCharType="begin"/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instrText xml:space="preserve"> </w:instrTex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instrText>QUOTE</w:instrTex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instrText xml:space="preserve"> </w:instrText>
      </w:r>
      <w:r w:rsidRPr="00882057">
        <w:rPr>
          <w:rFonts w:ascii="Times New Roman" w:hAnsi="Times New Roman" w:cs="Times New Roman"/>
          <w:b w:val="0"/>
          <w:noProof/>
          <w:color w:val="auto"/>
          <w:w w:val="100"/>
          <w:sz w:val="30"/>
          <w:szCs w:val="30"/>
          <w:lang w:val="ru-RU"/>
        </w:rPr>
        <w:drawing>
          <wp:inline distT="0" distB="0" distL="0" distR="0" wp14:anchorId="350A4889" wp14:editId="668D8F60">
            <wp:extent cx="129540" cy="129540"/>
            <wp:effectExtent l="0" t="0" r="0" b="0"/>
            <wp:docPr id="6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instrText xml:space="preserve"> </w:instrTex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fldChar w:fldCharType="separate"/>
      </w:r>
      <w:r w:rsidRPr="00882057">
        <w:rPr>
          <w:rFonts w:ascii="Times New Roman" w:hAnsi="Times New Roman" w:cs="Times New Roman"/>
          <w:b w:val="0"/>
          <w:noProof/>
          <w:color w:val="auto"/>
          <w:w w:val="100"/>
          <w:sz w:val="30"/>
          <w:szCs w:val="30"/>
          <w:lang w:val="ru-RU"/>
        </w:rPr>
        <w:drawing>
          <wp:inline distT="0" distB="0" distL="0" distR="0" wp14:anchorId="5FC24D62" wp14:editId="3C1F9DF1">
            <wp:extent cx="129540" cy="129540"/>
            <wp:effectExtent l="0" t="0" r="0" b="0"/>
            <wp:docPr id="7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fldChar w:fldCharType="end"/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N</w:t>
      </w: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)</w:t>
      </w:r>
      <w:r w:rsidRPr="006B00B9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 xml:space="preserve"> (23 гадзіны)</w:t>
      </w: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Корань n-й ступені з ліку а (n ≥ 2, n </w: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23FAEB43" wp14:editId="6C203278">
            <wp:extent cx="129540" cy="129540"/>
            <wp:effectExtent l="0" t="0" r="0" b="0"/>
            <wp:docPr id="7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6B00B9">
        <w:rPr>
          <w:rFonts w:ascii="Times New Roman" w:hAnsi="Times New Roman"/>
          <w:sz w:val="30"/>
          <w:szCs w:val="30"/>
        </w:rPr>
        <w:fldChar w:fldCharType="begin"/>
      </w:r>
      <w:r w:rsidRPr="006B00B9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2A3D0A39" wp14:editId="02BE0474">
            <wp:extent cx="114300" cy="220980"/>
            <wp:effectExtent l="0" t="0" r="0" b="0"/>
            <wp:docPr id="7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∈</m:t>
        </m:r>
      </m:oMath>
      <w:r w:rsidRPr="006B00B9">
        <w:rPr>
          <w:rFonts w:ascii="Times New Roman" w:hAnsi="Times New Roman"/>
          <w:sz w:val="30"/>
          <w:szCs w:val="30"/>
        </w:rPr>
        <w:fldChar w:fldCharType="end"/>
      </w:r>
      <w:r w:rsidRPr="006B00B9">
        <w:rPr>
          <w:rFonts w:ascii="Times New Roman" w:hAnsi="Times New Roman"/>
          <w:sz w:val="30"/>
          <w:szCs w:val="30"/>
        </w:rPr>
        <w:fldChar w:fldCharType="begin"/>
      </w:r>
      <w:r w:rsidRPr="006B00B9">
        <w:rPr>
          <w:rFonts w:ascii="Times New Roman" w:hAnsi="Times New Roman"/>
          <w:sz w:val="30"/>
          <w:szCs w:val="30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EBD7E27" wp14:editId="569D77DC">
            <wp:extent cx="129540" cy="129540"/>
            <wp:effectExtent l="0" t="0" r="0" b="0"/>
            <wp:docPr id="7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fldChar w:fldCharType="end"/>
      </w:r>
      <w:r w:rsidRPr="006B00B9">
        <w:rPr>
          <w:rFonts w:ascii="Times New Roman" w:hAnsi="Times New Roman"/>
          <w:sz w:val="30"/>
          <w:szCs w:val="30"/>
        </w:rPr>
        <w:t xml:space="preserve"> </w: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N). Арыфметычны корань n-й ступені з ліку а. Уласцівасці каранёў n-й ступені (n ≥ 2, n </w: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720C0DA8" wp14:editId="5374E4F5">
            <wp:extent cx="114300" cy="220980"/>
            <wp:effectExtent l="0" t="0" r="0" b="0"/>
            <wp:docPr id="7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instrText>QUOTE</w:instrText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46807FD1" wp14:editId="4AB45595">
            <wp:extent cx="114300" cy="220980"/>
            <wp:effectExtent l="0" t="0" r="0" b="0"/>
            <wp:docPr id="7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30"/>
            <w:szCs w:val="30"/>
            <w:lang w:val="be-BY"/>
          </w:rPr>
          <m:t>∈</m:t>
        </m:r>
      </m:oMath>
      <w:r w:rsidRPr="006B00B9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instrText>QUOTE</w:instrText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03441B1C" wp14:editId="66D0BCD0">
            <wp:extent cx="129540" cy="129540"/>
            <wp:effectExtent l="0" t="0" r="0" b="0"/>
            <wp:docPr id="7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N). Прымяненне ўласцівасцей каранёў n-й ступені для пераўтварэння выразаў. 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Уласцівасці і графік функцыі y =</w: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70E867E1" wp14:editId="1EE61E4C">
            <wp:extent cx="350520" cy="251460"/>
            <wp:effectExtent l="0" t="0" r="0" b="0"/>
            <wp:docPr id="7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separate"/>
      </w:r>
      <m:oMath>
        <m:rad>
          <m:radPr>
            <m:ctrlPr>
              <w:rPr>
                <w:rFonts w:ascii="Cambria Math" w:hAnsi="Cambria Math"/>
                <w:sz w:val="3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x</m:t>
            </m:r>
          </m:e>
        </m:rad>
      </m:oMath>
      <w:r w:rsidRPr="006B00B9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(n ≥ 1, n </w:t>
      </w:r>
      <m:oMath>
        <m:r>
          <m:rPr>
            <m:sty m:val="p"/>
          </m:rPr>
          <w:rPr>
            <w:rFonts w:ascii="Cambria Math" w:hAnsi="Cambria Math"/>
            <w:sz w:val="30"/>
            <w:szCs w:val="30"/>
            <w:lang w:val="be-BY"/>
          </w:rPr>
          <m:t>∈</m:t>
        </m:r>
      </m:oMath>
      <w:r w:rsidRPr="006B00B9">
        <w:rPr>
          <w:rFonts w:ascii="Times New Roman" w:hAnsi="Times New Roman"/>
          <w:sz w:val="30"/>
          <w:szCs w:val="30"/>
          <w:lang w:val="be-BY"/>
        </w:rPr>
        <w:t xml:space="preserve"> N).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Ірацыянальныя ўраўненні.</w:t>
      </w: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A06EFC" w:rsidRPr="006B00B9" w:rsidRDefault="00A06EFC" w:rsidP="00A06E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A06EFC" w:rsidRPr="006B00B9" w:rsidRDefault="00A06EFC" w:rsidP="00A06E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корань n-й ступені з ліку а; арыфметычны корань n-й ступені з ліку а; паказчык кораня n-й ступені, падкарэнны выраз; ірацыянальнае ўраўненне;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ведаюць: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уласцівасці кораня n-й ступені;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метады рашэння ірацыянальных ураўненняў;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вылічваць корань n-й ступені з рэчаіснага ліку, прадстаўленага ў выглядзе n-й ступені; прымяняць уласцівасці кораня n-й ступені;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выносіць множнік з-пад кораня;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уносіць множнік пад знак кораня;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ацэньваць значэнне кораня;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спрашчаць выразы, якія змяшчаюць карані;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пазбаўляцца ад ірацыянальнасці ў назоўніку дробу;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будаваць графік функцыі y =</w: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QUOTE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7D251150" wp14:editId="121623C0">
            <wp:extent cx="350520" cy="251460"/>
            <wp:effectExtent l="0" t="0" r="0" b="0"/>
            <wp:docPr id="7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separate"/>
      </w:r>
      <m:oMath>
        <m:rad>
          <m:radPr>
            <m:ctrlPr>
              <w:rPr>
                <w:rFonts w:ascii="Cambria Math" w:hAnsi="Cambria Math"/>
                <w:sz w:val="30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x</m:t>
            </m:r>
          </m:e>
        </m:rad>
      </m:oMath>
      <w:r w:rsidRPr="006B00B9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(n ≥ 1, n </w:t>
      </w:r>
      <m:oMath>
        <m:r>
          <m:rPr>
            <m:sty m:val="p"/>
          </m:rPr>
          <w:rPr>
            <w:rFonts w:ascii="Cambria Math" w:hAnsi="Cambria Math"/>
            <w:sz w:val="30"/>
            <w:szCs w:val="30"/>
            <w:lang w:val="be-BY"/>
          </w:rPr>
          <m:t>∈</m:t>
        </m:r>
      </m:oMath>
      <w:r w:rsidRPr="006B00B9">
        <w:rPr>
          <w:rFonts w:ascii="Times New Roman" w:hAnsi="Times New Roman"/>
          <w:sz w:val="30"/>
          <w:szCs w:val="30"/>
          <w:lang w:val="be-BY"/>
        </w:rPr>
        <w:t xml:space="preserve"> N);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ірацыянальныя ўраўненні.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Тэма 3. Вытворная (18 гадзін)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Вытворная функцыі, фізічны сэнс вытворнай.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Правілы вылічэння вытворных: (</w:t>
      </w:r>
      <w:r w:rsidRPr="006B00B9">
        <w:rPr>
          <w:rFonts w:ascii="Times New Roman" w:hAnsi="Times New Roman"/>
          <w:sz w:val="30"/>
          <w:szCs w:val="30"/>
        </w:rPr>
        <w:t>cf</w:t>
      </w:r>
      <w:r w:rsidRPr="006B00B9">
        <w:rPr>
          <w:rFonts w:ascii="Times New Roman" w:hAnsi="Times New Roman"/>
          <w:sz w:val="30"/>
          <w:szCs w:val="30"/>
          <w:lang w:val="be-BY"/>
        </w:rPr>
        <w:t>)</w:t>
      </w:r>
      <w:r w:rsidRPr="006B00B9">
        <w:rPr>
          <w:rFonts w:ascii="Times New Roman" w:hAnsi="Times New Roman"/>
          <w:sz w:val="30"/>
          <w:szCs w:val="30"/>
        </w:rPr>
        <w:sym w:font="Symbol" w:char="F0A2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= </w:t>
      </w:r>
      <w:r w:rsidRPr="006B00B9">
        <w:rPr>
          <w:rFonts w:ascii="Times New Roman" w:hAnsi="Times New Roman"/>
          <w:sz w:val="30"/>
          <w:szCs w:val="30"/>
        </w:rPr>
        <w:t>cf</w:t>
      </w:r>
      <w:r w:rsidRPr="006B00B9">
        <w:rPr>
          <w:rFonts w:ascii="Times New Roman" w:hAnsi="Times New Roman"/>
          <w:sz w:val="30"/>
          <w:szCs w:val="30"/>
        </w:rPr>
        <w:sym w:font="Symbol" w:char="F0A2"/>
      </w:r>
      <w:r w:rsidRPr="006B00B9">
        <w:rPr>
          <w:rFonts w:ascii="Times New Roman" w:hAnsi="Times New Roman"/>
          <w:sz w:val="30"/>
          <w:szCs w:val="30"/>
          <w:lang w:val="be-BY"/>
        </w:rPr>
        <w:t>, (</w:t>
      </w:r>
      <w:r w:rsidRPr="006B00B9">
        <w:rPr>
          <w:rFonts w:ascii="Times New Roman" w:hAnsi="Times New Roman"/>
          <w:sz w:val="30"/>
          <w:szCs w:val="30"/>
        </w:rPr>
        <w:t>f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6B00B9">
        <w:rPr>
          <w:rFonts w:ascii="Times New Roman" w:hAnsi="Times New Roman"/>
          <w:sz w:val="30"/>
          <w:szCs w:val="30"/>
        </w:rPr>
        <w:t>g</w:t>
      </w:r>
      <w:r w:rsidRPr="006B00B9">
        <w:rPr>
          <w:rFonts w:ascii="Times New Roman" w:hAnsi="Times New Roman"/>
          <w:sz w:val="30"/>
          <w:szCs w:val="30"/>
          <w:lang w:val="be-BY"/>
        </w:rPr>
        <w:t>)</w:t>
      </w:r>
      <w:r w:rsidRPr="006B00B9">
        <w:rPr>
          <w:rFonts w:ascii="Times New Roman" w:hAnsi="Times New Roman"/>
          <w:sz w:val="30"/>
          <w:szCs w:val="30"/>
        </w:rPr>
        <w:sym w:font="Symbol" w:char="F0A2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= </w:t>
      </w:r>
      <w:r w:rsidRPr="006B00B9">
        <w:rPr>
          <w:rFonts w:ascii="Times New Roman" w:hAnsi="Times New Roman"/>
          <w:sz w:val="30"/>
          <w:szCs w:val="30"/>
        </w:rPr>
        <w:t>f</w:t>
      </w:r>
      <w:r w:rsidRPr="006B00B9">
        <w:rPr>
          <w:rFonts w:ascii="Times New Roman" w:hAnsi="Times New Roman"/>
          <w:sz w:val="30"/>
          <w:szCs w:val="30"/>
        </w:rPr>
        <w:sym w:font="Symbol" w:char="F0A2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6B00B9">
        <w:rPr>
          <w:rFonts w:ascii="Times New Roman" w:hAnsi="Times New Roman"/>
          <w:sz w:val="30"/>
          <w:szCs w:val="30"/>
        </w:rPr>
        <w:t>g</w:t>
      </w:r>
      <w:r w:rsidRPr="006B00B9">
        <w:rPr>
          <w:rFonts w:ascii="Times New Roman" w:hAnsi="Times New Roman"/>
          <w:sz w:val="30"/>
          <w:szCs w:val="30"/>
        </w:rPr>
        <w:sym w:font="Symbol" w:char="F0A2"/>
      </w:r>
      <w:r w:rsidRPr="006B00B9">
        <w:rPr>
          <w:rFonts w:ascii="Times New Roman" w:hAnsi="Times New Roman"/>
          <w:sz w:val="30"/>
          <w:szCs w:val="30"/>
          <w:lang w:val="be-BY"/>
        </w:rPr>
        <w:t>, (</w:t>
      </w:r>
      <w:r w:rsidRPr="006B00B9">
        <w:rPr>
          <w:rFonts w:ascii="Times New Roman" w:hAnsi="Times New Roman"/>
          <w:sz w:val="30"/>
          <w:szCs w:val="30"/>
        </w:rPr>
        <w:t>fg</w:t>
      </w:r>
      <w:r w:rsidRPr="006B00B9">
        <w:rPr>
          <w:rFonts w:ascii="Times New Roman" w:hAnsi="Times New Roman"/>
          <w:sz w:val="30"/>
          <w:szCs w:val="30"/>
          <w:lang w:val="be-BY"/>
        </w:rPr>
        <w:t>)</w:t>
      </w:r>
      <w:r w:rsidRPr="006B00B9">
        <w:rPr>
          <w:rFonts w:ascii="Times New Roman" w:hAnsi="Times New Roman"/>
          <w:sz w:val="30"/>
          <w:szCs w:val="30"/>
        </w:rPr>
        <w:sym w:font="Symbol" w:char="F0A2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= </w:t>
      </w:r>
      <w:r w:rsidRPr="006B00B9">
        <w:rPr>
          <w:rFonts w:ascii="Times New Roman" w:hAnsi="Times New Roman"/>
          <w:sz w:val="30"/>
          <w:szCs w:val="30"/>
        </w:rPr>
        <w:t>f</w:t>
      </w:r>
      <w:r w:rsidRPr="006B00B9">
        <w:rPr>
          <w:rFonts w:ascii="Times New Roman" w:hAnsi="Times New Roman"/>
          <w:sz w:val="30"/>
          <w:szCs w:val="30"/>
        </w:rPr>
        <w:sym w:font="Symbol" w:char="F0A2"/>
      </w:r>
      <w:r w:rsidRPr="006B00B9">
        <w:rPr>
          <w:rFonts w:ascii="Times New Roman" w:hAnsi="Times New Roman"/>
          <w:sz w:val="30"/>
          <w:szCs w:val="30"/>
        </w:rPr>
        <w:t>g</w:t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 + </w:t>
      </w:r>
      <w:r w:rsidRPr="006B00B9">
        <w:rPr>
          <w:rFonts w:ascii="Times New Roman" w:hAnsi="Times New Roman"/>
          <w:sz w:val="30"/>
          <w:szCs w:val="30"/>
        </w:rPr>
        <w:t>fg</w:t>
      </w:r>
      <w:r w:rsidRPr="006B00B9">
        <w:rPr>
          <w:rFonts w:ascii="Times New Roman" w:hAnsi="Times New Roman"/>
          <w:sz w:val="30"/>
          <w:szCs w:val="30"/>
        </w:rPr>
        <w:sym w:font="Symbol" w:char="F0A2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begin"/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</w:rPr>
        <w:instrText>QUOTE</w:instrText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76662FA0" wp14:editId="493DF3C7">
            <wp:extent cx="1104900" cy="441960"/>
            <wp:effectExtent l="0" t="0" r="0" b="0"/>
            <wp:docPr id="7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instrText xml:space="preserve"> </w:instrText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separate"/>
      </w:r>
      <w:r w:rsidRPr="00882057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8BDED6F" wp14:editId="594ABADA">
            <wp:extent cx="1104900" cy="441960"/>
            <wp:effectExtent l="0" t="0" r="0" b="0"/>
            <wp:docPr id="8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rFonts w:ascii="Times New Roman" w:hAnsi="Times New Roman"/>
          <w:sz w:val="30"/>
          <w:szCs w:val="30"/>
          <w:lang w:val="be-BY"/>
        </w:rPr>
        <w:fldChar w:fldCharType="end"/>
      </w:r>
      <w:r w:rsidRPr="006B00B9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Геаметрычны сэнс вытворнай. Сувязь паміж знакам вытворнай функцыі і яе нарастаннем або спаданнем. Ураўненне датычнай да графіка функцыі.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Прымяненне вытворнай да даследавання функцый. Найбольшае і найменшае значэнні функцыі на прамежку.</w:t>
      </w:r>
    </w:p>
    <w:p w:rsidR="00A06EFC" w:rsidRPr="006B00B9" w:rsidRDefault="00A06EFC" w:rsidP="00A06E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A06EFC" w:rsidRPr="006B00B9" w:rsidRDefault="00A06EFC" w:rsidP="00A06E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вытворная функцыі; 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ведаюць: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алгарытм вылічэння вытворнай функцыі ў пункце па азначэнні;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правілы вылічэння вытворнай сумы, рознасці, здабытку, дзелі функцый;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сувязь паміж нарастаннем (спаданнем) функцыі і знакам яе вытворнай;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фізічны і геаметрычны сэнс вытворнай;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правілы для вылічэння вытворных функцый;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знаходзіць значэнні вытворнай у пункце;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вызначаць прамежкі манатоннасці, пункты экстрэмуму, экстрэмумы функцыі;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складаць ураўненне датычнай да графіка функцыі;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задачы на знаходжанне найбольшага і найменшага значэнняў функцыі на прамежку;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выкарыстоўваць вытворную для даследавання функцый і пабудовы графікаў;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атрыманыя веды пры рашэнні задач практычнай накіраванасці.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Тэма 4. Уводзіны ў стэрэаметрыю (14 гадзін)</w:t>
      </w: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Прасторавыя фігуры. Мнагаграннікі: прызма, прамая прызма, правільная прызма, куб, паралелепіпед, пірамід</w:t>
      </w:r>
      <w:bookmarkStart w:id="0" w:name="_GoBack"/>
      <w:bookmarkEnd w:id="0"/>
      <w:r w:rsidRPr="006B00B9">
        <w:rPr>
          <w:rFonts w:ascii="Times New Roman" w:hAnsi="Times New Roman"/>
          <w:sz w:val="30"/>
          <w:szCs w:val="30"/>
          <w:lang w:val="be-BY"/>
        </w:rPr>
        <w:t>а, правільная піраміда.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паняцці стэрэаметрыі. Аксіёмы стэрэаметрыі. Вынікі з аксіём. Пабудова сячэнняў мнагаграннікаў плоскасцю.</w:t>
      </w:r>
    </w:p>
    <w:p w:rsidR="00A06EFC" w:rsidRPr="006B00B9" w:rsidRDefault="00A06EFC" w:rsidP="00A06EFC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A06EFC" w:rsidRPr="006B00B9" w:rsidRDefault="00A06EFC" w:rsidP="00A06E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A06EFC" w:rsidRPr="006B00B9" w:rsidRDefault="00A06EFC" w:rsidP="00A06E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прызма, прамая прызма, правільная прызма; куб, паралелепіпед; піраміда, правільная піраміда;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ведаюць: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аксіёмы стэрэаметрыі і вынікі з іх;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аксіёмы і вынікі з іх для рашэння задач;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будаваць сячэнні мнагаграннікаў плоскасцю на аснове аксіём і вынікаў з іх.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6B00B9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Тэма 5. Паралельнасць прамых і плоскасцей (20 гадзін)</w:t>
      </w: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bCs/>
          <w:sz w:val="30"/>
          <w:szCs w:val="30"/>
          <w:lang w:val="be-BY"/>
        </w:rPr>
        <w:t xml:space="preserve">Узаемнае размяшчэнне прамых у прасторы. </w:t>
      </w:r>
      <w:r w:rsidRPr="006B00B9">
        <w:rPr>
          <w:rFonts w:ascii="Times New Roman" w:hAnsi="Times New Roman"/>
          <w:sz w:val="30"/>
          <w:szCs w:val="30"/>
          <w:lang w:val="be-BY"/>
        </w:rPr>
        <w:t>Паралельныя прамыя ў прасторы. Прымета паралельнасці прамых. Уласцівасці паралельных прамых у прасторы. Скрыжаваныя прамыя. Прымета скрыжаваных прамых. Вугал паміж прамымі.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bCs/>
          <w:sz w:val="30"/>
          <w:szCs w:val="30"/>
          <w:lang w:val="be-BY"/>
        </w:rPr>
        <w:t xml:space="preserve">Узаемнае размяшчэнне прамой і плоскасці ў прасторы. </w:t>
      </w:r>
      <w:r w:rsidRPr="006B00B9">
        <w:rPr>
          <w:rFonts w:ascii="Times New Roman" w:hAnsi="Times New Roman"/>
          <w:sz w:val="30"/>
          <w:szCs w:val="30"/>
          <w:lang w:val="be-BY"/>
        </w:rPr>
        <w:t>Прамая, паралельная плоскасці. Прымета паралельнасці прамой і плоскасці. Уласцівасць прамой, паралельнай плоскасці.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bCs/>
          <w:sz w:val="30"/>
          <w:szCs w:val="30"/>
          <w:lang w:val="be-BY"/>
        </w:rPr>
        <w:t xml:space="preserve">Узаемнае размяшчэнне плоскасцей у прасторы. </w:t>
      </w:r>
      <w:r w:rsidRPr="006B00B9">
        <w:rPr>
          <w:rFonts w:ascii="Times New Roman" w:hAnsi="Times New Roman"/>
          <w:sz w:val="30"/>
          <w:szCs w:val="30"/>
          <w:lang w:val="be-BY"/>
        </w:rPr>
        <w:t>Паралельныя плоскасці. Прымета паралельнасці плоскасцей. Уласцівасці паралельных прамых і плоскасцей.</w:t>
      </w:r>
    </w:p>
    <w:p w:rsidR="00A06EFC" w:rsidRPr="006B00B9" w:rsidRDefault="00A06EFC" w:rsidP="00A06EF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A06E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A06EFC" w:rsidRPr="006B00B9" w:rsidRDefault="00A06EFC" w:rsidP="00A06E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паралельныя прамыя; скрыжаваныя прамыя; вугал паміж скрыжаванымі прамымі; паралельныя прамая і плоскасць; паралельныя плоскасці;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ведаюць: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прыметы паралельнасці прамых; скрыжаваных прамых; паралельнасці прамой і плоскасці; паралельнасці плоскасцей;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тэарэму аб знаходжанні вугла паміж скрыжаванымі прамымі;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уласцівасці паралельных прамых; паралельных прамой і плоскасці; паралельных плоскасцей; процілеглых граней прамавугольнага паралелепіпеда;</w:t>
      </w:r>
    </w:p>
    <w:p w:rsidR="00A06EFC" w:rsidRPr="006B00B9" w:rsidRDefault="00A06EFC" w:rsidP="00A06EFC">
      <w:pPr>
        <w:shd w:val="clear" w:color="auto" w:fill="FFFFFF"/>
        <w:tabs>
          <w:tab w:val="left" w:pos="61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устанаўліваць узаемнае размяшчэнне прамых у прасторы;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знаходзіць вугал паміж скрыжаванымі прамымі;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будаваць сячэнні мнагаграннікаў плоскасцю на аснове тэарэм аб паралельнасці прамых і плоскасцей;</w:t>
      </w:r>
    </w:p>
    <w:p w:rsidR="00876C6B" w:rsidRDefault="00A06EFC" w:rsidP="00876C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задачы, у тым ліку на доказ паралельнасці прамых і плоскасцей у прасторы.</w:t>
      </w:r>
    </w:p>
    <w:p w:rsidR="00876C6B" w:rsidRDefault="00876C6B" w:rsidP="00876C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06EFC" w:rsidRPr="006B00B9" w:rsidRDefault="00A06EFC" w:rsidP="00876C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Тэма 6. Перпендыкулярнасць прамых і плоскасцей (20 гадзін)</w:t>
      </w:r>
    </w:p>
    <w:p w:rsidR="00A06EFC" w:rsidRPr="006B00B9" w:rsidRDefault="00A06EFC" w:rsidP="00A06EFC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Прамая, перпендыкулярная плоскасці. Прымета перпендыкулярнасці прамой і плоскасці. Уласцівасць прамых, перпендыкулярных адной плоскасці.</w:t>
      </w:r>
    </w:p>
    <w:p w:rsidR="00A06EFC" w:rsidRPr="006B00B9" w:rsidRDefault="00A06EFC" w:rsidP="00A06EFC">
      <w:pPr>
        <w:pStyle w:val="210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Перпендыкуляр і нахіленая. Уласцівасці перпендыкуляра і нахіленых. Тэарэмы аб даўжынях перпендыкуляра, нахіленых і праекцый гэтых нахіленых.</w:t>
      </w:r>
    </w:p>
    <w:p w:rsidR="00A06EFC" w:rsidRPr="006B00B9" w:rsidRDefault="00A06EFC" w:rsidP="00A06EFC">
      <w:pPr>
        <w:pStyle w:val="210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Адлегласць ад пункта да плоскасці. Адлегласць паміж прамой і паралельнай ёй плоскасцю. Адлегласць паміж паралельнымі плоскасцямі. </w:t>
      </w:r>
    </w:p>
    <w:p w:rsidR="00A06EFC" w:rsidRPr="006B00B9" w:rsidRDefault="00A06EFC" w:rsidP="00A06EFC">
      <w:pPr>
        <w:pStyle w:val="210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Тэарэма аб трох перпендыкулярах. Вугал паміж прамой і плоскасцю.</w:t>
      </w:r>
    </w:p>
    <w:p w:rsidR="00A06EFC" w:rsidRPr="006B00B9" w:rsidRDefault="00A06EFC" w:rsidP="00A06EFC">
      <w:pPr>
        <w:pStyle w:val="210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Двухгранны вугал. Лінейны вугал двухграннага вугла.</w:t>
      </w:r>
    </w:p>
    <w:p w:rsidR="00A06EFC" w:rsidRPr="006B00B9" w:rsidRDefault="00A06EFC" w:rsidP="00A06EFC">
      <w:pPr>
        <w:pStyle w:val="210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Перпендыкулярнасць плоскасцей. Прымета перпендыкулярнасці плоскасцей. </w:t>
      </w:r>
    </w:p>
    <w:p w:rsidR="00A06EFC" w:rsidRPr="006B00B9" w:rsidRDefault="00A06EFC" w:rsidP="00A06EFC">
      <w:pPr>
        <w:pStyle w:val="210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Уласцівасці перпендыкулярных прамых і плоскасцей.</w:t>
      </w:r>
    </w:p>
    <w:p w:rsidR="00A06EFC" w:rsidRPr="006B00B9" w:rsidRDefault="00A06EFC" w:rsidP="00A06EFC">
      <w:pPr>
        <w:pStyle w:val="210"/>
        <w:ind w:firstLine="0"/>
        <w:jc w:val="center"/>
        <w:rPr>
          <w:sz w:val="30"/>
          <w:szCs w:val="30"/>
          <w:lang w:val="be-BY"/>
        </w:rPr>
      </w:pPr>
    </w:p>
    <w:p w:rsidR="00A06EFC" w:rsidRPr="006B00B9" w:rsidRDefault="00A06EFC" w:rsidP="00A06E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A06EFC" w:rsidRPr="006B00B9" w:rsidRDefault="00A06EFC" w:rsidP="00A06E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A06EFC" w:rsidRPr="006B00B9" w:rsidRDefault="00A06EFC" w:rsidP="00A06EFC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перпендыкулярныя прамыя; перпендыкулярныя прамая і плоскасць; перпендыкуляр да плоскасці; нахіленая да плоскасці; праекцыя нахіленай; вугал паміж прамой і плоскасцю; двухгранны вугал; лінейны вугал двухграннага вугла; вугал паміж плоскасцямі; перпендыкулярныя плоскасці; адлегласць ад пункта да плоскасці; адлегласць паміж паралельнымі прамой і плоскасцю; адлегласць паміж паралельнымі плоскасцямі; 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ведаюць: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прыметы перпендыкулярнасці прамой і плоскасці; перпендыкулярнасці плоскасцей;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уласцівасці перпендыкулярных прамых; перпендыкулярных прамой і плоскасці; перпендыкулярных плоскасцей; дыяганалей прамавугольнага паралелепіпеда; 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тэарэму аб трох перпендыкулярах;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умеюць: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знаходзіць адлегласць паміж паралельнымі прамой і плоскасцю, паралельнымі плоскасцямі;</w:t>
      </w:r>
    </w:p>
    <w:p w:rsidR="00A06EFC" w:rsidRPr="006B00B9" w:rsidRDefault="00A06EFC" w:rsidP="00A06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знаходзіць вугал паміж прамой і плоскасцю, дзвюма плоскасцямі;</w:t>
      </w:r>
    </w:p>
    <w:p w:rsidR="00A06EFC" w:rsidRPr="006B00B9" w:rsidRDefault="00A06EFC" w:rsidP="00A06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будаваць сячэнні мнагаграннікаў плоскасцю на аснове тэарэм аб перпендыкулярнасці прамых і плоскасцей;</w:t>
      </w:r>
    </w:p>
    <w:p w:rsidR="008729CF" w:rsidRPr="00876C6B" w:rsidRDefault="00A06EFC" w:rsidP="00876C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рашаць задачы на вылічэнне і доказ, у тым ліку практыка-арыентаваныя.</w:t>
      </w:r>
    </w:p>
    <w:sectPr w:rsidR="008729CF" w:rsidRPr="00876C6B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72" w:rsidRDefault="00123572">
      <w:pPr>
        <w:spacing w:after="0" w:line="240" w:lineRule="auto"/>
      </w:pPr>
      <w:r>
        <w:separator/>
      </w:r>
    </w:p>
  </w:endnote>
  <w:endnote w:type="continuationSeparator" w:id="0">
    <w:p w:rsidR="00123572" w:rsidRDefault="0012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72" w:rsidRDefault="00123572">
      <w:pPr>
        <w:spacing w:after="0" w:line="240" w:lineRule="auto"/>
      </w:pPr>
      <w:r>
        <w:separator/>
      </w:r>
    </w:p>
  </w:footnote>
  <w:footnote w:type="continuationSeparator" w:id="0">
    <w:p w:rsidR="00123572" w:rsidRDefault="0012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E" w:rsidRPr="001C176F" w:rsidRDefault="00A06EFC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 w:rsidR="00876C6B">
      <w:rPr>
        <w:rFonts w:ascii="Times New Roman" w:hAnsi="Times New Roman"/>
        <w:noProof/>
        <w:sz w:val="28"/>
        <w:szCs w:val="28"/>
      </w:rPr>
      <w:t>2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8"/>
    <w:rsid w:val="00123572"/>
    <w:rsid w:val="001A384F"/>
    <w:rsid w:val="008729CF"/>
    <w:rsid w:val="00876C6B"/>
    <w:rsid w:val="00A06EFC"/>
    <w:rsid w:val="00AC62E8"/>
    <w:rsid w:val="00D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186-637E-412B-A586-902BB8A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8"/>
    <w:rPr>
      <w:rFonts w:eastAsia="Times New Roman" w:cs="Times New Roman"/>
    </w:rPr>
  </w:style>
  <w:style w:type="paragraph" w:styleId="1">
    <w:name w:val="heading 1"/>
    <w:basedOn w:val="10"/>
    <w:next w:val="a"/>
    <w:link w:val="11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C62E8"/>
    <w:pPr>
      <w:spacing w:before="240" w:after="12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C62E8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2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pter">
    <w:name w:val="chapter"/>
    <w:basedOn w:val="a"/>
    <w:rsid w:val="00AC62E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AC62E8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C6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E8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C62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E8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E8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C62E8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C62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C62E8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C62E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C62E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2E8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uiPriority w:val="99"/>
    <w:rsid w:val="00A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C62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C62E8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C62E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C62E8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62E8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C6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C62E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C62E8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C62E8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C62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C6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C62E8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C62E8"/>
    <w:pPr>
      <w:widowControl w:val="0"/>
      <w:shd w:val="clear" w:color="auto" w:fill="FFFFFF"/>
      <w:spacing w:before="1360" w:after="0" w:line="446" w:lineRule="exact"/>
      <w:jc w:val="center"/>
    </w:pPr>
    <w:rPr>
      <w:rFonts w:ascii="Arial" w:eastAsiaTheme="minorHAnsi" w:hAnsi="Arial" w:cstheme="minorBidi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character" w:customStyle="1" w:styleId="12">
    <w:name w:val="Текст примечания Знак1"/>
    <w:basedOn w:val="a0"/>
    <w:uiPriority w:val="99"/>
    <w:locked/>
    <w:rsid w:val="00AC62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C62E8"/>
    <w:rPr>
      <w:rFonts w:cs="Times New Roman"/>
      <w:vertAlign w:val="superscript"/>
    </w:rPr>
  </w:style>
  <w:style w:type="paragraph" w:customStyle="1" w:styleId="cap1">
    <w:name w:val="cap1"/>
    <w:basedOn w:val="a"/>
    <w:rsid w:val="00AC62E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AC62E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styleId="af3">
    <w:name w:val="Normal (Web)"/>
    <w:basedOn w:val="a"/>
    <w:uiPriority w:val="99"/>
    <w:rsid w:val="00AC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C62E8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C62E8"/>
    <w:rPr>
      <w:rFonts w:ascii="Symbol" w:hAnsi="Symbol" w:cs="Times New Roman"/>
    </w:rPr>
  </w:style>
  <w:style w:type="paragraph" w:customStyle="1" w:styleId="snoskiline">
    <w:name w:val="snoskiline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C62E8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C62E8"/>
    <w:pPr>
      <w:shd w:val="clear" w:color="auto" w:fill="FFFFFF"/>
      <w:spacing w:after="0" w:line="240" w:lineRule="auto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C62E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AC62E8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C62E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C62E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C6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C62E8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C62E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C62E8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C62E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C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2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62E8"/>
    <w:rPr>
      <w:rFonts w:cs="Times New Roman"/>
    </w:rPr>
  </w:style>
  <w:style w:type="character" w:styleId="afc">
    <w:name w:val="Placeholder Text"/>
    <w:basedOn w:val="a0"/>
    <w:uiPriority w:val="99"/>
    <w:semiHidden/>
    <w:rsid w:val="00AC62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4</cp:revision>
  <dcterms:created xsi:type="dcterms:W3CDTF">2023-08-26T10:47:00Z</dcterms:created>
  <dcterms:modified xsi:type="dcterms:W3CDTF">2023-08-28T11:48:00Z</dcterms:modified>
</cp:coreProperties>
</file>